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Model validation and model risk professional with ~7 years across derivatives analytics, balance-sheet risk, and ALM modelling. At Moody's Analytics, holds delegated sign-off authority on valuation, sensitivity, and ALM outputs for multi-asset institutional portfolios ($5–25bn per engagement) — independently challenges assumptions, benchmarks, and documentation prior to production release. CFA charterholder with dual MSc (Financial Modelling, Engineering); applied knowledge of OSFI E-23 and SR 11-7 model risk frameworks.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Effective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(OSFI E-23, SR 11-7)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Review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Benchmark &amp; Replication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Assumptions, Inputs &amp; Data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Documentation &amp; Governance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SQL (Intermediate)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Engagement &amp; Escalation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Validation &amp; Effective Challenge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delivered to multi-asset institutional client portfolios ($5–25bn per engagement; ~$50bn+ cumulative) — independently reviews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inflation; cross-checks sensitivities and scenario impacts at portfolio-level aggregates against developer results to assess replicability and identify discrepancies.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Provides effective challenge on assumptions, inputs, and economic defensibility — escalates outputs lacking mathematical or economic support to product owners and clients' Heads of Risk; quantifies model limitations and documents conditions for use.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Benchmarks &amp; Methodology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interest-rate and duration analytics under parallel and non-parallel rate shocks, benchmarking model outputs against expected behaviour to identify deficiencies and recommend methodology changes.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design of an enterprise multi-asset cash-flow projection engine supporting base, stress, and reverse-stress scenarios — reviewed and validated embedded behavioral assumptions, prepayment logic, and macro stress overlays for analytical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risk metrics, identifying deficiencies in assumptions and recommending changes to methodology.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Documentation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Moody's formal model-governance framework consistent with SR 11-7 and OSFI E-23 expectations — maintains validation documentation, audit trails, and sign-off records suitable for regulatory examination.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logging, version control, and validation scaffolding; deployed agentic-AI tooling (Claude Code, Cursor) reducing review cycle time by an estimated 30–40%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and challenge memos for senior stakeholders covering model outputs, scenario impacts, and sensitivity results; interfaces directly with clients' Heads of Risk and investment committees.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Product Owner requests; advised clients on asset, liability, and ALM configurations, contributing to successful migration of all assigned accounts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clients; contributed to governance documentation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risk functions on adoption of new standards; coordinated cross-functional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validated stochastic economic scenario generators assessing interest-rate, inflation, and currency risk under base-case and stressed environments for Canadian and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based on VaR and CVaR using Ortec's GLASS platform, with risk decomposition and near-optimal frontier analysis to test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pension funds — analyzed funding ratios, duration mismatch, LDI trade-offs, and hedging strategies; presented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(new jointly-sponsored plan) — developed and validated the model capturing all Funding Policy dynamics,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