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Manager, Capital Markets Model Validation — BMO</w:t>
      </w:r>
    </w:p>
    <w:p>
      <w:r>
        <w:t>I currently hold delegated sign-off authority on valuation, sensitivity, and model outputs for multi-asset institutional portfolios at Moody's Analytics — independently challenging assumptions, benchmarks, and documentation before production release across portfolios ranging from $5–25bn per engagement. That is the core of what BMO's Capital Markets Model Validation team is asking of its next Manager, and I would like to be considered for the role.</w:t>
      </w:r>
    </w:p>
    <w:p>
      <w:r>
        <w:t>Over the past four years at Moody's I have operated within a formal model-governance framework consistent with SR 11-7 and OSFI E-23 expectations: reviewing derivatives pricing outputs across rates, FX, and inflation; benchmarking sensitivity results against developer outputs to assess replicability; escalating outputs lacking economic defensibility to product owners and clients' Heads of Risk; and maintaining audit-ready documentation and sign-off records. I have re-engineered spreadsheet-based validation workflows into auditable Python pipelines with embedded logging and version control, and I deployed agentic-AI tooling that reduced my team's review cycle time by an estimated 30–40% on comparable modules. Earlier, at Ortec Finance, I built and validated stochastic scenario generators and delivered ALM studies for Canadian pension funds, adding hands-on quantitative depth in stress testing and scenario analysis. At EY I contributed to governance documentation and regulatory-readiness processes on IFRS 17 and IFRS 9 transformation engagements.</w:t>
      </w:r>
    </w:p>
    <w:p>
      <w:r>
        <w:t>What draws me specifically to BMO is the scope of the Capital Markets Model Validation mandate — leading the validation of a diverse model portfolio, representing the program to internal and external regulatory auditors, and developing validation strategy across new model types. My practitioner background maps directly onto those accountabilities: sign-off experience, challenge-memo discipline, and Python-modernized validation tooling are ready to deploy from day one. I hold the CFA charter and dual MSc degrees in Financial Modelling and Chemical Engineering from Western University. I am based in Toronto, available for interviews immediately, and can start approximately four weeks after offer acceptance. My resume is attached; references are available on request. Thank you for your time.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