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Senior Director, Funding and Liquidity Risk Management candidate with ~7 years across liquidity risk, ALM, and balance-sheet risk for pension funds, insurers, and institutional asset managers. At Moody's Analytics holds delegated sign-off authority on valuation, sensitivity, and ALM outputs for multi-asset institutional portfolios ($5–25bn per engagement; ~$50bn+ cumulative), and led design of a multi-scenario cash-flow projection and liquidity-gap engine. Prior advisory at EY (IFRS 9/17 regulatory transformation) and Ortec Finance (stochastic ALM, LDI, stress testing). CFA charterholder; dual MSc (Financial Modelling; Chemical Engineering).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Liquidity Risk &amp; Funding Risk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Cash-Flow Projection &amp; Liquidity Gap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Contingency Funding &amp; Stress Testing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Balance Sheet &amp; ALM Risk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Market Risk &amp; Derivatives Valuation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Second Line of Defense — Effective Challenge &amp; Governance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Stakeholder Reporting &amp; Regulatory Documentation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Review, Escalation &amp; Documentation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&amp; Quantitative Analytical Methods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Assistant Director — Modelling Services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–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Liquidity Risk, Funding &amp; Cash-Flow Projection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cash-flow projection engine supporting base, stress, and reverse-stress scenarios — delivering forward-looking liquidity visibility across ALM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 gap analytics (T+1 through multi-year), enabling funding optimization, refinancing risk assessment, and asset-allocation decisions; designed to align with regulatory liquidity expectations analogous to those in OSFI LAR.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Embedded behavioral cash-flow assumptions, prepayment logic, and macro stress overlays consistent with regulatory contingency funding planning expectations.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Balance Sheet, Market Risk &amp; Derivatives Review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delegated sign-off authority on valuation, sensitivity, and ALM outputs for multi-asset institutional portfolios ranging $5–25bn per engagement (cumulatively ~$50bn+ across the book of work).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Oversees interest-rate risk and duration analysis under parallel and non-parallel rate shocks, applying standards analogous to Basel IRRBB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Reviews and validates derivatives pricing outputs across rates, FX, and inflation, checking sensitivity consistency at portfolio-level ALM aggregates.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Second Line of Defense — Effective Challenge &amp; Stakeholder Reporting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Operates within a formal model-governance framework as a second line of defense function: independently reviews curve construction, spread calibration, and cross-asset interactions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Escalates outputs lacking mathematical or economic defensibility; serves as escalation point for client-critical analytical issues, interfacing directly with clients' Heads of Risk and investment stakeholders.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Prepares stakeholder reporting on interest-rate exposure, scenario impacts, and balance-sheet sensitivities for senior audiences — translating quantitative outputs into executive-ready risk narratives.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–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on the PFaroe analytics platform; advised on asset, liability, and ALM configurations and validated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as technical liaison between client investment teams and product/development, translating requirements into structured Product Owner requests; successfully migrated all assigned client accounts from legacy Calypso to PFaroe PM.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—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–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regulatory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actuarial, IT, finance, and program-management functions on standard adoption; contributed to governance documentation and regulatory-readiness processes across cross-functional teams.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—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–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 and institutional investors, analyzing funding ratios, duration mismatch, and long-term balance-sheet risk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interest-rate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cash-flow, liquidity, and hedging analysis across interest-rate, inflation, and currency risk for international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liability-driven investment (LDI) analysis and advised on Strategic and Tactical Asset Allocation trade-offs via stress testing and sensitivity analysis; presented findings to pension-fund investment committees.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—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—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—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