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June 11, 2026</w:t>
      </w:r>
    </w:p>
    <w:p>
      <w:r>
        <w:t>Re: Senior Director, Funding and Liquidity Risk Management — CIBC</w:t>
      </w:r>
    </w:p>
    <w:p>
      <w:r>
        <w:t>Dear Hiring Team,</w:t>
      </w:r>
    </w:p>
    <w:p>
      <w:r>
        <w:t>I currently hold delegated sign-off authority on liquidity, cash-flow projection, and balance-sheet risk outputs for multi-asset institutional portfolios at Moody's Analytics — engagements ranging $5–25bn, cumulatively ~$50bn+ across the book. That practitioner mandate maps directly onto the Senior Director, Funding and Liquidity Risk Management role at CIBC: independent analytical challenge of liquidity posture, scenario-driven stress coverage, and the kind of executive- and regulator-ready reporting a second-line team is built to produce.</w:t>
      </w:r>
    </w:p>
    <w:p>
      <w:r>
        <w:t>Over the past four years at Moody's I led the design and implementation of a multi-asset cash-flow projection engine supporting base, stress, and reverse-stress scenarios, and architected configurable time-bucketed liquidity gap analytics running from T+1 through multi-year horizons. The behavioral cash-flow assumptions, prepayment logic, and macro stress overlays I embedded align directly with the contingency funding and regulatory liquidity expectations the role calls for. I also review parallel and non-parallel rate-shock analytics and validate rates, FX, and inflation derivatives outputs at portfolio-level ALM aggregates — with a documented escalation path when outputs are not economically defensible. That escalation discipline — holding a release against deadline pressure because the numbers are wrong — is the core habit second-line governance requires. Prior roles at EY (IFRS 17 and 9 transformation across Canadian and global insurers) and Ortec Finance (stochastic ALM, LDI, and cash-flow and hedging analysis for Canadian pension funds, including the UPP multi-plan merger) developed the cross-functional fluency — Treasury, Finance, Actuarial, IT — that the Senior Director mandate demands.</w:t>
      </w:r>
    </w:p>
    <w:p>
      <w:r>
        <w:t>What draws me to CIBC specifically is the breadth of this mandate: liquidity and funding risk, contingency funding planning, and subsidiary oversight, all anchored in a second-line partnership with Treasury and Capital Markets across Toronto and globally. I hold the CFA charter and dual MSc degrees from Western University in Financial Modelling and Chemical Engineering. I am Toronto-based, available for interviews immediately, and can start approximately four weeks after offer acceptance.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