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June 11, 2026</w:t>
      </w:r>
    </w:p>
    <w:p>
      <w:r>
        <w:t>Re: Analyst, Risk (12-Month Contract) — CPP Investments</w:t>
      </w:r>
    </w:p>
    <w:p>
      <w:r>
        <w:t>Dear Hiring Team,</w:t>
      </w:r>
    </w:p>
    <w:p>
      <w:r>
        <w:t>I am applying for the Analyst, Risk (12-Month Contract) role at CPP Investments. The posting targets recent graduates, and I want to make the case for an unconventional candidacy directly: I bring ~7 years of independent risk oversight — total-portfolio analytics, scenario analysis, and investment risk governance across public and private market exposures — and I would contribute substantively from week one while learning the Fund's specific frameworks at pace.</w:t>
      </w:r>
    </w:p>
    <w:p>
      <w:r>
        <w:t>At Moody's Analytics I hold delegated sign-off authority on valuation, sensitivity, and risk outputs for multi-asset institutional portfolios in the $5–25bn range per engagement. My day-to-day maps closely onto the four-team mandate described in the posting: I review aggregation from security-level to total-portfolio metrics, oversee scenario analysis under parallel and non-parallel shocks, monitor evolving risk indicators, and challenge outputs that are mathematically defensible but economically unsupported. Before Moody's, at Ortec Finance, I ran asset-only and asset-liability VaR/CVaR optimization using the GLASS platform with risk decomposition and contribution-to-risk analysis, and built stochastic scenario generators across interest-rate, inflation, and currency risk for pension-fund clients — directly relevant to both the Total Portfolio Risk &amp; Analytics and Investment Risk mandates.</w:t>
      </w:r>
    </w:p>
    <w:p>
      <w:r>
        <w:t>What draws me specifically to CPP Investments is the Risk department's positioning as independent, integrated, and constructively challenging across investment and enterprise dimensions of the Total Fund — the same posture I have held as a practitioner for the past four years. The contract structure works well for me: I am motivated by the substance of the work, the chance to contribute to risk frameworks that compound across generations of Canadians, and the opportunity to operate inside one of the world's most respected institutional investors. I am comfortable bringing rigorous analytical standards to an analyst-titled mandate, engaging openly in fast-paced team discussions, and learning the Fund's tools and conventions quickly.</w:t>
      </w:r>
    </w:p>
    <w:p>
      <w:r>
        <w:t>I am Toronto-based and available immediately.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