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11, 2026</w:t>
      </w:r>
    </w:p>
    <w:p>
      <w:r>
        <w:t>Re: Analyst, Total Fund Management (12-Month Contract) — CPP Investments</w:t>
      </w:r>
    </w:p>
    <w:p>
      <w:r>
        <w:t>Dear Hiring Team,</w:t>
      </w:r>
    </w:p>
    <w:p>
      <w:r>
        <w:t>I currently validate daily valuation, sensitivity, and ALM outputs at Moody's Analytics for multi-asset institutional portfolios ranging $5-25bn per engagement — investigating discrepancies, coordinating with technology partners on enhancements, and serving as the escalation point for client-critical analytical issues. Those are the exact accountabilities described in the Analyst, Total Fund Management (12-Month Contract) posting, and they are why I am writing.</w:t>
      </w:r>
    </w:p>
    <w:p>
      <w:r>
        <w:t>Over the past four years at Moody's I have validated derivatives outputs across rates, FX, and inflation; re-engineered manual spreadsheet workflows into auditable Python pipelines; and led the design of a multi-asset cash flow projection and liquidity gap engine — work that gave me a practical understanding of cash and financing flows across portfolios and the trade-offs involved in funding and liquidity decisions. Before Moody's I delivered insurance-accounting transformation at EY, and ALM studies for Canadian pension funds at Ortec Finance, where I presented findings to investment committees and ran multi-asset stochastic scenario analysis daily. I hold the CFA charter and dual MSc degrees from Western University, and write production Python and SQL against large datasets.</w:t>
      </w:r>
    </w:p>
    <w:p>
      <w:r>
        <w:t>What draws me specifically to CPP Investments is the TFM mandate itself — a front-to-back seat where Beta, Collateral and Liquidity Management, and Trading meet Technology and Operations on a balance sheet that shapes outcomes for Canadians at scale. I have spent my career on the analytics and operational side of that interface: translating front-office requirements into engineering work, validating what comes back, and owning the investigation when outputs do not reconcile. The 12-month structure suits my situation well; I would focus on contributing immediately and learning the desk's specific workflows from colleagues who run them at institutional scale.</w:t>
      </w:r>
    </w:p>
    <w:p>
      <w:r>
        <w:t>I am Toronto-based, available for interviews immediately, and can start approximately four weeks after offer acceptance.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