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Consultant / Senior Consultant, Corporate Treasury Modeling and Advisory candidate with ~7 years across asset-liability management (ALM), balance-sheet risk, and model-governance work at Moody's Analytics, EY, and Ortec Finance. Develops and validates structural interest rate risk, liquidity stress-testing, and balance-sheet aggregation models; holds delegated sign-off authority on multi-asset institutional portfolios ($5–25bn per engagement). CFA charterholder with dual MSc degrees (Financial Modelling,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Asset-Liability Management (ALM) &amp; Balance-Sheet Model Development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 &amp; Model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Structural Interest Rate Risk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Stress Testing &amp; Cash-Flow Projection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Balance-Sheet Aggregation &amp; Capital Adequacy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Behavioural Cash-Flow &amp; Prepayment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Excel (Advanced), SQL, R, MATLAB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CFA, dual MSc (Financial Modelling, Engineering)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Balance-Sheet Model Development and Validation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asset-liability management (ALM) outputs delivered to institutional client portfolios of $5–25bn per engagement ($50bn+ cumulative); independently reviews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balance-sheet aggregation logic converting security-level exposures into portfolio-level ALM and capital adequacy metrics across client treasury and investment books.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inflation; reviews sensitivity consistency at portfolio-level ALM aggregates to support structural risk reporting.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model-governance framework — performs independent model validation: reviews model assumptions, assesses economic defensibility, escalates outputs lacking mathematical or analytical support; documentation standards aligned with SR 11-7-style validation practices.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Structural Interest Rate Risk &amp; Liquidity Stress Testing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Oversees structural interest rate risk and duration analysis under parallel and non-parallel rate shocks, consistent with industry IRRBB frameworks applicable to bank treasury balance sheets.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Embeds behavioural cash-flow assumptions, prepayment logic, and macro stress overlays aligned with regulatory liquidity stress-testing and contingency-planning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design and implementation of an enterprise multi-asset cash-flow projection engine supporting base, stress, and reverse-stress scenarios —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to support funding optimisation and refinancing risk assessment.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Advisory, Tooling &amp; Stakeholder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as escalation point for client-critical analytical issues, interfacing with Heads of Risk and investment stakeholders; prepares analytical summaries on interest-rate exposure, scenario impacts, and balance-sheet sensitivities for senior decision-makers.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pipelines; deployed agentic-AI development workflows (Claude Code, Cursor) reducing development cycle time by an estimated 30–40%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of the PFaroe analytics platform for U.S. and Canadian pension funds, asset managers, and consulting firms; advised on asset, liability,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Product Owner development requests; contributed to the successful migration of all assigned accounts from legacy Calypso to PFaroe.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engagements for Canadian and international insurance clients; advised actuarial, finance, IT, and PM functions on standard adoption and governance documentation.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cross-functional milestone delivery across actuarial, risk, IT, and finance teams; contributed to go-to-market collateral for the IFRS 17 advisory service offering.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investors; analysed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to assess interest-rate risk and funding volatility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interest-rate, inflation, and currency risk; conducted liability-driven investment (LDI) analysis on duration alignment and liquidity trade-offs.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and onboarding for a three-plan university pension merger — on a team of three, developed and validated the model capturing funding-policy dynamics,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findings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