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r>
        <w:t>June 11, 2026</w:t>
      </w:r>
    </w:p>
    <w:p>
      <w:r>
        <w:t>Re: Consultant / Senior Consultant, Corporate Treasury Modeling and Advisory — Deloitte</w:t>
      </w:r>
    </w:p>
    <w:p>
      <w:r>
        <w:t>Dear Hiring Team,</w:t>
      </w:r>
    </w:p>
    <w:p>
      <w:r>
        <w:t>At Moody's Analytics I hold delegated sign-off authority on valuation, sensitivity, and ALM outputs for multi-asset institutional client portfolios of $5–25bn per engagement — the structural interest rate risk, liquidity stress-testing, and balance-sheet model development and validation discipline that Deloitte's Consultant / Senior Consultant, Corporate Treasury Modeling and Advisory role is built around. I would like to be considered for this position within the Financial Engineering and Modeling group.</w:t>
      </w:r>
    </w:p>
    <w:p>
      <w:r>
        <w:t>Over the past four years at Moody's I have led the design of a multi-scenario cash-flow projection engine, architected time-bucketed liquidity gap analytics from T+1 through multi-year horizons, and independently reviewed structural interest rate risk and duration analysis under parallel and non-parallel rate shocks. I validate the balance-sheet aggregation logic that converts security-level exposures into portfolio-level ALM and capital metrics, embed behavioural cash-flow assumptions and prepayment logic into liquidity stress scenarios, and escalate model outputs that are mathematically defensible but economically unsupported — all within a formal model-governance framework. The analytical work is delivered primarily in Python and Excel, with agentic-AI workflows that have reduced development cycle time on comparable modules by an estimated 30–40%. Before Moody's, I delivered IFRS 17 and IFRS 9 transformation engagements at EY, and stochastic ALM, LDI, and hedging studies for Canadian and international pension funds at Ortec Finance. That advisory-to-practitioner arc means I can translate the client's treasury problem and the modeller's answer in the same conversation — which is precisely the dual fluency the advisory role requires.</w:t>
      </w:r>
    </w:p>
    <w:p>
      <w:r>
        <w:t>What draws me specifically to Deloitte is the breadth of the Financial Engineering and Modeling group: the opportunity to serve the most sophisticated Canadian and international FSI clients across structural interest rate risk, liquidity stress testing, capital adequacy, and fund transfer pricing, with room to grow into adjacent areas such as credit modelling and machine learning applications. I hold the CFA charter and dual MSc degrees in Financial Modelling and Chemical Engineering from Western University.</w:t>
      </w:r>
    </w:p>
    <w:p>
      <w:r>
        <w:t>I am Toronto-based, available immediately for interviews, and able to start approximately four weeks after offer acceptance. Thank you for your consideration.</w:t>
      </w:r>
    </w:p>
    <w:p>
      <w:r>
        <w:t>Sincerely,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