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Candidate for Senior Director, Asset and Liability Management (ALM) with ~7 years across institutional ALM analytics, IRRBB modelling, and balance-sheet risk. Holds delegated sign-off on valuation, sensitivity, and ALM outputs across multi-asset institutional portfolios ($5–25bn per engagement; ~$50bn cumulative) at Moody's Analytics, including parallel and non-parallel rate-shock analytics consistent with OSFI B-12 and Basel IRRBB frameworks. Designed an enterprise multi-scenario cash-flow and liquidity-gap engine supporting base, stress, and reverse-stress scenarios. Prior practitioner depth in stochastic ALM, LDI, and hedging analytics at Ortec Finance. CFA +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 and Liability Management (ALM)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 Risk — IRRBB / OSFI B-12 aligned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ALM Model Development &amp; Governance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Balance Sheet &amp; Liquidity Gap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Yield Curve, Duration &amp; EVE/NII Sensitivity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Rates, FX &amp; Inflation Derivatives Validation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Hedging Analysis (Interest Rate, Inflation, Currency)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(Advanced), SQL, Stochastic Modelling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—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Interest Rate Risk &amp; Balance Sheet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delivered to institutional client portfolios ranging $5–25bn per engagement (~$50bn cumulative) —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interest-rate risk and duration analysis under parallel and non-parallel rate shocks, consistent with OSFI B-12 Interest Rate Risk Management Guideline and Basel IRRBB frameworks, including EVE and NII sensitivity at portfolio-level ALM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rates, FX, and inflation derivatives outputs and cross-check sensitivity consistency at portfolio-level ALM aggregates feeding balance-sheet risk assessment.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ALM Model Development, Stress Testing &amp; Liquidity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— a core ALM model supporting base, stress, and reverse-stress scenarios — delivering forward-looking liquidity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liquidity-gap analytics (T+1 through multi-year) enabling funding optimisation, refinancing-risk assessment,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behavioural cash-flow assumptions, prepayment logic, and macro stress overlays aligned with regulatory liquidity expectations and executive contingency planning.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Governance, Reporting &amp; Continuous Improvement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model-governance framework — review ALM model assumptions, escalate outputs lacking mathematical or economic defensibility, and serve as escalation point for client-critical analytical issues, interfacing with Heads of Risk and senior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ALM analytical summaries, dashboards, and committee-ready presentations on interest-rate exposure, scenario impacts, and balance-sheet sensitivities.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auditable Python analytics pipelines; deployed agentic AI development workflows (Claude Code, Cursor) reducing development cycle time approximately 30–40% on comparable modules.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 — advising on asset, liability, and ALM configurations and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investment-team requirements into structured product/development requests; successfully migrated all assigned client accounts from a legacy Calypso environment.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—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 — aligned regulatory requirements with system implementation and balance-sheet 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finance, IT, and program-management functions on governance documentation and regulatory-readiness processes; coordinated milestone delivery across cross-functional teams.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—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 — analysed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cash-flow, liquidity, and hedging analysis across interest-rate, inflation, and currency risk; advised clients on Strategic and Tactical Asset Allocation trade-offs via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optimisation on VaR and CVaR via Ortec's GLASS platform; presented findings at client investment-committee meetings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