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r>
        <w:t>June 11, 2026</w:t>
      </w:r>
    </w:p>
    <w:p>
      <w:r>
        <w:t>Re: Senior Director, Asset and Liability Management (ALM) — EQ Bank</w:t>
      </w:r>
    </w:p>
    <w:p>
      <w:r>
        <w:t>Dear Hiring Team,</w:t>
      </w:r>
    </w:p>
    <w:p>
      <w:r>
        <w:t>I currently hold delegated sign-off authority on valuation, sensitivity, and ALM outputs for multi-asset institutional portfolios at Moody's Analytics — the practitioner mandate at the core of the Senior Director, Asset and Liability Management (ALM) role at EQ Bank. With approximately seven years across institutional ALM analytics, IRRBB modelling, and balance-sheet risk, I would like to be considered for this opportunity.</w:t>
      </w:r>
    </w:p>
    <w:p>
      <w:r>
        <w:t>Over the past three years at Moody's I have led the design and implementation of an enterprise multi-scenario cash-flow projection engine supporting base, stress, and reverse-stress scenarios — the analytical spine directly analogous to EQ Bank's EWST, MST, and ICAAP-support requirements. My mandate covers interest-rate risk and duration analysis under parallel and non-parallel rate shocks consistent with OSFI B-12 and Basel IRRBB, validation of rates, FX, and inflation derivatives outputs, and time-bucketed liquidity-gap analytics from T+1 through multi-year horizons. I operate inside a formal model-governance framework — escalating outputs lacking economic defensibility, documenting policies and procedures to validation standards, and preparing scenario-impact summaries for Heads of Risk and senior committees. Before Moody's, I performed cash-flow, liquidity, and hedging analysis across interest-rate, inflation, and currency risk at Ortec Finance, and delivered IFRS 9 and IFRS 17 regulatory transformation at EY.</w:t>
      </w:r>
    </w:p>
    <w:p>
      <w:r>
        <w:t>What draws me specifically to EQ Bank is the architect mandate of this role — shaping balance-sheet strategy at Canada's Challenger Bank rather than maintaining a legacy book at a Schedule I. The combination of an active hedging program, a treasury-investment portfolio requiring continuous optimisation against OSFI's evolving market-risk guidance, and a culture that rewards analytical rigour over institutional inertia is exactly the environment where my practitioner depth is most productive. I hold the CFA charter and dual MSc degrees from Western University.</w:t>
      </w:r>
    </w:p>
    <w:p>
      <w:r>
        <w:t>I am based in Toronto, available for interviews immediately, and can commit to a start approximately four weeks after offer acceptance. References are available upon request. Thank you for your consideration.</w:t>
      </w:r>
    </w:p>
    <w:p>
      <w:r>
        <w:t>Sincerely,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