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Model validation and governance professional with ~7 years across pension ALM, investment risk analytics, and quantitative model development, applying for the Senior Director, Model Validation role at HOOPP. Holds delegated sign-off authority on valuation, sensitivity, and ALM outputs for multi-asset institutional portfolios at Moody's Analytics ($5–25bn per engagement). Validates pricing, investment, and actuarial-liability models; reviews AI/ML-assisted analytical workflows. CFA and dual MSc (Financial Modelling; Engineering).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Independent Model Validation &amp;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Conceptual Soundness &amp; Methodology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Risk Governance &amp; Model Inventory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Valuation, Pricing &amp; Investment Model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Actuarial Liability &amp; Pension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&amp; Monte Carlo Scenario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AI/ML Workflow Review &amp; Agentic Development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SQL, MATLAB, R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Constructive Challenge &amp; Stakeholder Influence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Director,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Independent Validation &amp; Conceptual Soundness Review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ALM outputs delivered to multi-asset institutional client portfolios — $5–25bn per engagement, ~$50bn+ cumulative — independently reviewing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inflation; cross-check sensitivity consistency and implementation accuracy at portfolio-level investment and ALM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Evaluate conceptual soundness, methodological rigor, and economic defensibility of model outputs; escalate outputs that pass internal checks but fail economic-defensibility standards, serving as escalation point for client-critical analytical issues with Heads of Risk and investment stakeholders.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Governance, Documentation &amp; Performance Monitoring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 within a formal model-governance framework — assumption validation, change-control review, documentation standards, and ongoing performance monitoring consistent with SR 11-7 and OSFI E-23 model-risk-management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 model risk summaries for senior stakeholders covering interest-rate exposure, scenario impacts, and balance-sheet sensitivities, translating quantitative outputs into committee-ready narratives.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Development &amp; AI/ML-Assisted Validation Workflows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scenarios across investment and liability horizons, with embedded behavioral assumptions and macro stress overlays.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Developed agentic AI workflows (Claude Code, Cursor IDE) to automate first-pass validation scaffolding, anomaly detection, and documentation — human sign-off retained on all governance-critical review steps; estimated 30–40% reduction in development and review cycle time on comparable modules.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auditable Python analytics pipelines with embedded logging, validation, and reconciliation controls.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 — advised on asset, liability, and ALM configurations;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Acted as technical liaison between client investment teams and Product Owners, translating requirements into development requests and challenging configuration choices against model and data-quality expectations.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 — advised actuarial, finance, IT, and risk functions on adoption, governance documentation, and regulatory-readiness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subject-matter input to IFRS 17 product offerings and implementation collateral, coordinating across multidisciplinary teams on milestone delivery.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validated stochastic economic scenario generators assessing interest-rate, inflation, and currency risk under base and stressed regimes for Canadian and international pension funds.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Modelled pension actuarial liabilities alongside all major investment-product types and economic variables; conducted funding-ratio, duration-gap, and LDI analysis informing Strategic Asset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via Ortec's GLASS platform, with risk decomposition, attribution, and near-optimal frontier analysis to test the robustness of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the ALM study and model build for a three-plan university pension merger (new jointly-sponsored plan) — on a team of three developing and validating the model capturing all Funding Policy dynamics, duration, currency, inflation, and leverage overlays; presented findings to investment committees on-site.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—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—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—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