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Analyst, Global Asset Liability Management candidate with ~7 years across institutional ALM, interest-rate risk, and balance-sheet analytics at Moody's Analytics, EY, and Ortec Finance. CFA charterholder with dual MSc credentials and delegated sign-off on valuation, sensitivity, and ALM outputs for multi-asset institutional portfolios ($5–25bn per engagement). Hands-on with duration-gap analytics, VaR/CVaR, fixed-income and derivatives sensitivity, IFRS 17/IFRS 9 transformation, and liability-driven investment strategies for pensions and insurers.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&amp; Duration Gap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Derivatives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Liability-Driven Investment (LDI) &amp; Hedging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IFRS 17 &amp; IFRS 9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Excel (Advanced)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Stakeholder Reporting &amp;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 (Investment &amp; ALM Risk)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ALM Risk Metrics &amp; Senior Management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on valuation, sensitivity, and ALM outputs delivered to multi-asset institutional portfolios ranging $5–25bn per engagement (~$50bn+ cumulative book of work).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Analyze and explain movement in duration gap, earnings risk, and VaR-style sensitivities under parallel and non-parallel interest-rate shocks; prepare updated risk-position summaries and market-driven gain/loss commentary for senior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(rates, FX, inflation) and cross-check sensitivity consistency at portfolio-level ALM aggregates; escalate outputs lacking mathematical or economic defensibility.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ALM Systems, Process Improvement &amp; Forecasting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improving forward-looking interest-rate and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to multi-year) supporting refinancing, funding, and asset-allocation decisions; embedded behavioural cash-flow assumptions, prepayment logic, and macro stress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 and validation controls.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Cross-Functional Engagement &amp; Business-Driven Issues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Interface with clients' Heads of Risk and investment stakeholders on emerging analytical issues — including new-business impacts, restructuring, and segmentation changes — translating business requirements into modelling and reporting changes.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framework: independently review curve construction, spread calibration, and cross-asset interactions prior to production release; document assumptions to auditability standards.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— PFaroe ALM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ALM and portfolio analytics platform.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asset, liability, and ALM configurations; validated model outputs post-deployment and migrated all assigned accounts from legacy Calypso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clients; advised actuarial, finance, IT, and risk teams on adoption of the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processes; coordinated milestone delivery across actuarial, finance, IT, risk, and program-management functions.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investors; analyzed funding ratios, duration mismatch, and long-term balance-sheet risk under base and stressed regimes.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analysis, balancing return objectives, duration alignment, and liquidity considerations; advised on Strategic and Tactical Asset Allocation via stress and sensitivity testing.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generators; performed cash-flow, liquidity, and hedging analysis across interest-rate, inflation, and currency risk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based on VaR and CVaR via Ortec's GLASS platform, with risk decomposition and contribution-to-risk attribution.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(new jointly-sponsored plan) — on a team of three, developed and validated a model capturing all Funding Policy dynamics and evaluated duration, currency, inflation, and leverage overlay strategies; presented findings to investment committees.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