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June 11, 2026</w:t>
      </w:r>
    </w:p>
    <w:p>
      <w:r>
        <w:t>Re: Analyst, Global Asset Liability Management — Manulife</w:t>
      </w:r>
    </w:p>
    <w:p>
      <w:r>
        <w:t>Dear Hiring Team,</w:t>
      </w:r>
    </w:p>
    <w:p>
      <w:r>
        <w:t>At Moody's Analytics I currently hold delegated sign-off authority on valuation, sensitivity, and ALM outputs delivered to multi-asset institutional portfolios in the $5–25bn range per engagement — the precise analytical discipline Manulife's Global ALM group is built around. I would like to be considered for the Analyst, Global Asset Liability Management role.</w:t>
      </w:r>
    </w:p>
    <w:p>
      <w:r>
        <w:t>My day-to-day work maps directly onto the position's core responsibilities. I analyze and explain movement in duration gap, earnings risk, and VaR-style sensitivities under parallel and non-parallel rate shocks, and prepare updated risk-position summaries and market-driven gain/loss commentary for senior management — matching the forecasting and reporting accountability in this role. I led the design and implementation of an enterprise multi-asset cash-flow projection engine supporting base, stress, and reverse-stress scenarios, and re-engineered manual spreadsheet workflows into auditable Python pipelines — the kind of ALM systems and process-improvement ownership the role explicitly calls for. I also interface with Heads of Risk and investment stakeholders on emerging business issues — new mandates, restructuring, segmentation changes — translating their requirements into modelling and reporting changes, which aligns with the cross-functional partnership responsibilities described. At EY I delivered IFRS 17 and IFRS 9 transformation for Canadian and international insurers alongside actuarial, finance, and IT teams; at Ortec Finance I built stochastic scenario generators and LDI and hedging analytics for pension clients, including a three-plan university pension merger I co-led end-to-end and presented to the investment committee.</w:t>
      </w:r>
    </w:p>
    <w:p>
      <w:r>
        <w:t>What draws me specifically to Manulife is the breadth of the General Fund — public and private bonds, mortgages, private equity, real estate, and infrastructure — and the central role Global ALM plays in shaping investment strategy and measuring IFRS 17 economic and accounting risk metrics across that book. That is the practitioner environment I want to be working in. I hold the CFA charter and dual MSc degrees from Western University.</w:t>
      </w:r>
    </w:p>
    <w:p>
      <w:r>
        <w:t>I am Toronto-based, available for interviews immediately, and can start approximately four weeks after offer acceptance. References are available on request. Thank you for your consideration.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