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Applying for the Analyst / Senior Analyst, Total Plan Risk Management role at OMERS with ~7 years of experience across total-portfolio risk analytics, asset-liability studies, and quantitative research for pension and institutional investors. Hands-on with VaR/CVaR portfolio optimization, risk decomposition, stress and scenario analysis, LDI, and liquidity risk on multi-asset mandates — including direct experience with Ortec's GLASS platform. Strong Python fluency for large-dataset analytical workflows; CFA charterholder with dual MSc in Financial Modelling and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Total Portfolio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Study &amp; LDI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Risk &amp; Cash-Flow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Large-Dataset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Governance &amp; Policy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Ortec GLASS Platform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Total Portfolio Risk Analytics &amp; Investment Risk Insights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for multi-asset institutional portfolios ranging $5–25bn per engagement; cumulative ~$50bn book of work —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— duration, key-rate sensitivities, and cross-asset interactions — feeding downstream investment risk reporting and risk-governance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sensitivities and scenario impacts at portfolio aggregates for consistency and economic defensibility.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Scenario Analysis &amp; Liquidity Risk Research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delivering forward-looking liquidity risk visibility across multi-year asset-liability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portfolio construction decisions under stressed market conditions.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into scenario research workflows aligned with executive contingency planning.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Reporting Tools &amp; Large-Dataset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sourcing large datasets across multi-asset portfolios and feeding senior-stakeholder risk reporting.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rate exposure, scenario impacts, and balance-sheet sensitivities; translated quantitative outputs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for code generation, validation scaffolding, and anomaly detection — reducing development cycle time an estimated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Onboarded U.S. and Canadian pension funds and asset managers onto an enterprise multi-asset analytics platform (PFaroe); validated asset, liability, and ALM configurations against client investment-team requirements.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PM, scoping client needs into structured Product Owner requests for development.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engagements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asset-liability studies for Canadian and international pension funds and institutional investors; analyzed funded status, duration mismatch, and long-horizon balance-sheet risk under stochastic regimes.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and portfolio construction analysis based on VaR and CVaR using Ortec's GLASS platform; conducted risk decomposition, contribution-to-risk analysis, and near-optimal frontier robustness analysis to test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interest-rate, inflation, and currency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LDI analysis on multi-asset mandates: duration alignment, hedging trade-offs, and liquidity risk considerations supporting Strategic and Tactical Asset 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 actuarial liabilities alongside major investment products and economic variables; performed cash-flow, liquidity risk, and hedging analysis across rates, inflation, and FX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(jointly-sponsored plan); on a team of three, developed and validated the model capturing all Funding Policy dynamics and evaluated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at on-site client meetings, including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