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Asset allocation and multi-asset risk professional seeking the Principal, Overlay Management role, with ~7 years across institutional ALM, tactical and strategic asset allocation, derivatives-based hedging, and stochastic scenario analysis. Built VaR/CVaR optimization and risk-decomposition analytics linking macro regimes to equity returns, correlations, and funding-ratio drawdowns for pension-fund clients at Ortec Finance; extended that work into stress and reverse-stress scenario frameworks at Moody's Analytics, where I hold delegated sign-off on multi-asset institutional portfolio outputs. CFA + dual MSc (Financial Modelling;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Tactical Asset Allocation (TAA) &amp; Strategic Asset Allocation (SAA)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Construction &amp; Risk-Adjusted Return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Macroeconomic Regime Analysis &amp; Equity Risk Signals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Derivatives: Interest-Rate, FX &amp; Inflation (Swaps, Futures-analogous overlays)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Tail Risk &amp; Drawdown Analysis via Stress &amp; Scenario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Optimization &amp; Risk Budgeting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(Advanced), SQL (Intermediate)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Investment-Committee Presentation &amp; Governance Communication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ALM Risk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Multi-Asset Analytics &amp; Investment-Committee Output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multi-asset portfolio outputs delivered to institutional client portfolios ranging $5-25bn per engagement — cumulatively ~$50bn of institutional assets across the book.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curve construction, spread calibration, and cross-asset interactions, translating market dynamics into defensible portfolio-level sensitivities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ensuring sensitivity and scenario consistency at portfolio-level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Testing, Scenario Analysis &amp; Drawdown Visibility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providing forward-looking drawdown and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exposure analytics (T+1 through multi-year) enabling rebalancing-trigger assessment, refinancing risk evaluation, and tactical allocation decisions under stressed regimes.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aligned with institutional drawdown management and contingency-planning expectations.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Stakeholder Communication &amp; Team Development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as escalation point for client-critical analytical issues; interface directly with Heads of Risk and investment stakeholders, articulating portfolio sensitivities and risk-return trade-offs to senior decision-makers.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workflows into auditable Python analytics pipelines; deployed agentic AI development workflows (Claude Code, Cursor IDE) reducing development cycle time by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Mentor junior analysts on portfolio construction, scenario analysis, and model governance, supporting team resilience and disciplined decision-making.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- Buy-Side Solutions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Onboarded U.S. and Canadian pension funds, asset managers, and consulting firms onto a multi-asset analytics platform; advised clients on asset, liability, and total-portfolio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product and development scope; validated model outputs across fixed-income, derivatives, and multi-asset positioning post-deployment.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financial-reporting and risk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delivery, governance documentation,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Canadian and international pension funds on Strategic and Tactical Asset Allocation, evaluating return objectives, duration alignment, and drawdown tolerance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linking macroeconomic regimes to equity returns, correlations, and funding-ratio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surplus (asset-liability) portfolio optimization on VaR and CVaR via Ortec's GLASS platform, with risk decomposition (contribution-to-risk, risk budgeting) and near-optimal frontier robustness analysis to assess risk-adjusted return trade-offs across allocation scenarios.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Designed multi-currency, inflation, and interest-rate hedging overlays for institutional mandates; modelled pension-fund liabilities alongside major investment-product types and economic variables.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for a three-plan university pension merger (now UPP) — on a team of three developing and validating the model capturing funding-policy dynamics and evaluating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findings to investment committees on-site, articulating recommendations on asset allocation and overlay positioning to trustees and CIO-office stakeholders.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