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11, 2026</w:t>
      </w:r>
    </w:p>
    <w:p>
      <w:r>
        <w:t>Re: Principal, Overlay Management — OMERS</w:t>
      </w:r>
    </w:p>
    <w:p>
      <w:r>
        <w:t>Dear Hiring Team,</w:t>
      </w:r>
    </w:p>
    <w:p>
      <w:r>
        <w:t>I have spent the last seven years building and signing off on the kind of multi-asset, macro-informed, derivatives-adjacent portfolio analytics that the Principal, Overlay Management role in OMERS GMAS is built around. At Ortec Finance I delivered strategic and tactical asset-allocation studies — building stochastic scenario generators that mapped macro regimes to equity returns, correlations, and funding-ratio drawdowns, then running VaR/CVaR optimization and risk-decomposition analyses on Ortec's GLASS platform to size tactical tilts and duration, inflation, and currency overlay strategies for pension-fund clients. I presented those views and recommendations directly to investment committees. At Moody's Analytics, where I currently hold delegated sign-off on multi-asset institutional portfolio outputs for engagements in the $5-25bn range, I extended that analytical foundation into a multi-scenario cash-flow and exposure projection engine supporting base, stress, and reverse-stress regimes — the substrate for drawdown management and tail-risk analysis at the total-plan level.</w:t>
      </w:r>
    </w:p>
    <w:p>
      <w:r>
        <w:t>The combination this role asks for — linking macroeconomic regimes to equity behavior, translating those views into overlay positions using liquid derivatives instruments, and operating inside formal risk budgets and governance guardrails — sits across the spine of my career. I want to be transparent about one aspect: my derivatives depth is strongest in rates, FX, and inflation swaps in the ALM context; I have not been a day-to-day futures or equity-options execution trader. What I bring is the analytical and governance infrastructure surrounding those instruments — sizing, scenario-stressing, risk-decomposing, and presenting overlay positions — which is where the Ortec and Moody's work has consistently sat. I would expect to build the equity-futures execution fluency quickly in the role.</w:t>
      </w:r>
    </w:p>
    <w:p>
      <w:r>
        <w:t>What draws me specifically to OMERS is the transition toward a total-portfolio investment approach: Overlay Management is the seat where macro judgment, systematic equity risk premia signals, and disciplined implementation converge, and where the marginal decision moves risk-adjusted outcomes for 665,000 members. My Ortec roots are in exactly that pension-investment-committee setting, and my Moody's governance discipline maps onto the institutional framework this capability requires.</w:t>
      </w:r>
    </w:p>
    <w:p>
      <w:r>
        <w:t>I am Toronto-based, available for interviews immediately, and can start approximately four weeks after offer acceptance. Resume attached; references on request.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