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ALM Risk Manager candidate with ~7 years across IRRBB analytics, market risk reporting, and model governance. At Moody's Analytics, holds delegated sign-off authority on valuation, sensitivity, and ALM outputs for multi-asset institutional portfolios ($5–25bn per engagement). Runs interest-rate risk analytics under parallel and non-parallel rate shocks (analogous to EVE and NII frameworks); validates fixed income, IR derivatives, and FX pricing and cashflow profiles. Python and SQL practitioner. CFA +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&amp; IRRBB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(EVE/NII-analogous)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IR Derivatives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Sensitivity Analysis &amp; Curve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 &amp; SQL (Intermediate)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Reporting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Sign-Off Authority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IRRBB &amp; Market Risk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institutional client portfolios ranging $5–25bn per engagement; independently review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shocks, aligned with IRRBB standards analogous to OSFI B-12 and Basel Committee frameworks — covering the EVE and NII sensitivity dimensions those frameworks require.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pricing and sensitivity outputs across fixed income, linear IR derivatives, and FX — reviewing cashflow profiles, discounting logic, and scenario impacts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Reporting Automation &amp; Data Infrastructure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logging, validation, and version control.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aggregation logic converting security-level exposures into consolidated portfolio-level risk metrics feeding scenario, sensitivity, and ALM reporting — directly analogous to building and maintaining enterprise banking-book position and risk-metric datasets.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Deployed agentic AI development workflows (Claude Code, Cursor IDE) automating code generation, validation scaffolding, and anomaly detection — reducing development cycle time ~30–40%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Liquidity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of an enterprise multi-asset cash flow projection engine supporting base, stress, and reverse-stress scenarios; architected configurable time-bucketed liquidity gap analytics (T+1 through multi-year).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liquidity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balance-sheet sensitivities; serve as escalation point for client Heads of Risk on analytical issues.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structured development requests; contributed to the successful migration of all assigned client accounts from a legacy Calypso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clients; aligned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PM teams on milestone delivery, governance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funds; analyzed funding ratios, duration mismatch, and long-term balance-sheet exposures across interest-rate, inflation, and FX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for stress testing interest-rate risk and funding volatility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(IR, inflation, currency) for international clients; modelled actuarial liabilities alongside fixed income, equity, and derivative product types.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VaR and CVaR portfolio optimization, risk decomposition, and contribution-to-risk analytics on Ortec's GLASS platform; presented findings to investment committees at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