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ALM Risk Manager — RBC</w:t>
      </w:r>
    </w:p>
    <w:p>
      <w:r>
        <w:t>Dear Hiring Team,</w:t>
      </w:r>
    </w:p>
    <w:p>
      <w:r>
        <w:t>I currently hold delegated sign-off authority on valuation, sensitivity, and ALM outputs for multi-asset institutional portfolios at Moody’s Analytics — running interest-rate risk analytics under parallel and non-parallel rate shocks that cover the EVE and NII sensitivity dimensions central to RBC’s enterprise Balance Sheet and Liquidity Risk – ALM mandate. I would like to be considered for the ALM Risk Manager role.</w:t>
      </w:r>
    </w:p>
    <w:p>
      <w:r>
        <w:t>Over the past four years at Moody’s I have validated pricing and sensitivity outputs across fixed income, linear IR derivatives, and FX — reviewing cashflow profiles, discounting logic, and scenario impacts at portfolio-level ALM aggregates. I designed aggregation logic converting security-level exposures into consolidated risk-metric datasets for scenario, sensitivity, and ALM reporting, and re-engineered manual spreadsheet workflows into auditable Python pipelines with embedded refresh and version-control discipline. Python and SQL are daily tools; I also deploy agentic-AI workflows to accelerate code review and validation. Before Moody’s, I built and interpreted stochastic economic scenario generators at Ortec Finance, delivering ALM and stress-testing studies for Canadian pension funds, and coordinated cross-functional regulatory programs at EY.</w:t>
      </w:r>
    </w:p>
    <w:p>
      <w:r>
        <w:t>What draws me to RBC specifically is the breadth of the enterprise BSLR mandate — independent IRRBB oversight across business lines and jurisdictions, combined with hands-on development of automated risk-reporting tools and consolidated banking-book datasets. That combination of analytical rigour and reporting-infrastructure ownership is precisely where my practitioner depth in IRRBB analytics, Python pipeline development, and cross-functional communication translates most directly. I hold the CFA charter and dual MSc degrees in Financial Modelling and Chemical Engineering from Western University.</w:t>
      </w:r>
    </w:p>
    <w:p>
      <w:r>
        <w:t>I am based in Toronto, available for interviews immediately, and can start approximately four weeks after offer acceptance. References are available on request. Thank you for your time.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