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IRRBB and Asset Liability Management specialist with ~7 years across interest rate risk measurement, balance sheet analytics, and model governance. At Moody's Analytics, holds delegated sign-off on valuation, sensitivity, and ALM outputs for multi-asset institutional portfolios ($5–25bn per engagement); led a multi-scenario cash flow projection engine and IRRBB-analogous analytics under parallel and non-parallel shocks, covering both economic-value (EVE) and earnings dimensions, applied in frameworks consistent with OSFI B-12 / BCBS 368. CFA charterholder with dual MSc; advisory background spans Treasury-facing institutional clients across banks, pension funds, and insurers.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IRRBB Measurement (EVE &amp; NII)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 Liability Management (ALM)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OSFI B-12 / BCBS 368 Awareness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Yield Curve &amp; Spread Calibration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Behavioral Cash Flow Modelling (Prepayment, Prepayment Logic)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Cash Flow Projection &amp; Liquidity Gap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&amp; SQL Analytics Pipelines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ALCO-Style Reporting &amp; Risk Attribution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 &amp; Documentation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PROFESSIONAL 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—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IRRBB &amp; Balance Sheet Risk Measurement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ALM outputs delivered to multi-asset institutional client portfolios ranging $5–25bn per engagement — independently review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interest rate risk and duration analysis under parallel and non-parallel rate shocks, in frameworks consistent with OSFI B-12 and BCBS 368 — outputs cover economic-value (EVE) and earnings-based sensitivity dimensions analogous to bank Treasury IRRBB measurement.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 — verify consistency of sensitivities and scenario impacts at portfolio-level ALM aggregates feeding downstream balance sheet risk and capital processes.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Cash Flow Projection, Behavioral Assumptions &amp; ETL Pipelines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 — delivering forward-looking liquidity and earnings visibility across ALM horizons relevant to balance sheet and funding management.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gap analytics (T+1 through multi-year) enabling funding optimization, refinancing risk assessment, and balance sheet management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behavioral cash flow assumptions and prepayment logic, with macro stress overlays — covering the non-trading balance sheet behavioral mechanics relevant to IRRBB measurement.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scalable, auditable Python and SQL extract/transform/load pipelines with embedded balance-and-control checks, logging, and version control.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ALCO Reporting, Attribution &amp; Model Documentation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 analytical summaries for senior stakeholders — including clients' Heads of Risk and investment committees — covering interest rate exposure, scenario impacts, attribution of risk-measurement changes, and balance sheet sensitivities consistent with ALCO reporting standards.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Maintain documentation of risk-measurement methodology, model assumptions, and procedures within a formal model governance framework; escalate outputs lacking mathematical or economic defensibility.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 — advised on asset, liability, and ALM configurations and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Scoped client investment-team requirements into structured Product Owner requests; contributed to successful migration of all assigned client accounts from legacy Calypso to PFaroe PM.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—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insurance clients — aligned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finance, IT, and PM functions on standard adoption; contributed to governance documentation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—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— analyzed funding ratios, duration mismatch, and long-term balance sheet risk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measuring interest rate risk and funding volatility; performed cash flow, liquidity, and hedging analysis across rates, inflation, and currency.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 on duration alignment and liquidity trade-offs; presented findings to investment committees on-site.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Modelled pension actuarial liabilities alongside major investment products and economic variables; performed VaR/CVaR portfolio optimization and risk decomposition on Ortec's GLASS platform.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—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—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—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