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Manager, IRRBB Measurement — RBC</w:t>
      </w:r>
    </w:p>
    <w:p>
      <w:r>
        <w:t>I currently hold sign-off authority on valuation, sensitivity, and ALM outputs for multi-asset institutional portfolios at Moody's Analytics — the same discipline RBC's IRRBB Measurement team applies daily to its structural balance sheet. I would like to be considered for the Manager, IRRBB Measurement role.</w:t>
      </w:r>
    </w:p>
    <w:p>
      <w:r>
        <w:t>Over the past four years at Moody's I led the design of a multi-scenario cash flow projection engine, reviewed interest rate risk under parallel and non-parallel shocks covering both EVE and earnings dimensions, and re-engineered spreadsheet workflows into auditable Python and SQL ETL pipelines with embedded balance-and-control checks. I have embedded behavioral cash flow assumptions and prepayment logic into production ALM systems, and I prepare ALCO-style analytical summaries — attribution of risk-measurement changes, scenario impacts, and balance sheet sensitivities — for Heads of Risk and investment committees. Before Moody's, I delivered stochastic ALM and LDI studies for Canadian pension funds at Ortec Finance, and IFRS 9 and IFRS 17 transformation at EY. I hold the CFA charter and dual MSc degrees in Financial Modelling and Chemical Engineering from Western University.</w:t>
      </w:r>
    </w:p>
    <w:p>
      <w:r>
        <w:t>What draws me specifically to RBC is the breadth of the IRRBB Measurement mandate — spanning domestic banking subsidiaries, CAD and US non-trading balance sheets, and the full ETL-to-ALCO-reporting chain. My practitioner background — sign-off on portfolios in the $5–25bn range, Python and SQL pipeline builds, behavioral assumption embedding, and model governance documentation — maps directly onto what this role requires. I am based in Toronto, available for interviews immediately, and can start approximately four weeks after offer acceptance. My resume is attached; references are available on request. Thank you for your consideration.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