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Candidate for Associate Director, ALM (18 Month Contract) with ~7 years across institutional ALM, IRRBB analytics, and balance-sheet risk. Holds delegated sign-off authority at Moody's Analytics on valuation, sensitivity, and ALM outputs across multi-asset institutional portfolios of $5-25bn per engagement, with hands-on EVE, NII, KRDs, and gap analytics under parallel and non-parallel rate shocks aligned to IRRBB standards analogous to OSFI B-12. Advanced Python, SQL, and Excel; prior pension ALM and LDI delivery at Ortec Finance.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Structural Interest Rate Risk (SIRR) / IRRBB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EVE, NII, KRDs, and Gap Reporting (OSFI B-12-analogous)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 Sheet Analysis &amp; Interest Rate Risk Measurement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Modelling &amp; Model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Projection &amp; Liquidity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for ALM Analytics and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Advanced Excel &amp; Executive Commentary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Duration, Curve, and Hedging Analytics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SIRR / IRRBB Measurement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interest-rate risk and duration analysis under parallel and non-parallel rate shocks, producing EVE, NII, and key-rate duration (KRDs) outputs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delivered to institutional client portfolios ranging $5-25bn per engagement — independently reviewed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reviewing consistency of sensitivities and scenario impacts at portfolio-level ALM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Balance Sheet Analytics &amp; Stress Testing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balance-sheet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multi-year), enabling funding optimization, refinancing risk assessment, and hedging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regulatory liquidity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Pipelines, Reporting &amp; Executive Insight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feeding ALM measurement and reporting processes; SQL used for data extraction and aggregation across upstream data sources.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interest-rate exposure, scenario impacts, and balance-sheet sensitivities — translating quantitative outputs into executive-ready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ALM and capital processes.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of the PFaroe analytics platform for U.S. and Canadian pension funds, asset managers, and consulting firms — advising on asset, liability, and ALM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Product Owner development requests; contributed to the migration of all assigned client accounts from the legacy Calypso platform to PFaroe PM,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advising actuarial, finance, IT, and program-management functions on adoption.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processes; developed advisory product offerings and go-to-market collateral for IFRS 17 implementation.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— analyzed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LDI analysis and presented ALM findings to investment committees, including a three-plan university pension merger study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