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11, 2026</w:t>
      </w:r>
    </w:p>
    <w:p>
      <w:r>
        <w:t>Re: Associate Director, ALM (18 Month Contract) — Scotiabank</w:t>
      </w:r>
    </w:p>
    <w:p>
      <w:r>
        <w:t>Dear Hiring Team,</w:t>
      </w:r>
    </w:p>
    <w:p>
      <w:r>
        <w:t>I currently hold delegated sign-off authority on valuation, sensitivity, and ALM outputs for multi-asset institutional portfolios at Moody's Analytics — the same SIRR / IRRBB measurement discipline that sits at the heart of Scotiabank's Group Treasury ALM mandate. I would like to be considered for the Associate Director, ALM (18 Month Contract) role.</w:t>
      </w:r>
    </w:p>
    <w:p>
      <w:r>
        <w:t>Over the past four years at Moody's I have overseen interest-rate risk and duration analysis under parallel and non-parallel rate shocks — producing EVE, NII, and key-rate duration outputs aligned with IRRBB standards analogous to OSFI B-12 and Basel Committee frameworks. I led the design of an enterprise multi-asset cash-flow projection engine supporting base, stress, and reverse-stress scenarios, and architected time-bucketed liquidity gap analytics from T+1 through multi-year horizons. The day-to-day rhythm of reviewing balance-sheet movements, preparing executive commentary, and maintaining SQL and Python pipelines feeding ALM reporting is exactly what I do now, across portfolios of $5-25bn per engagement. Before Moody's, I delivered stochastic ALM and LDI studies for Canadian pension funds at Ortec Finance and financial-risk transformation engagements at EY.</w:t>
      </w:r>
    </w:p>
    <w:p>
      <w:r>
        <w:t>What draws me to this mandate specifically is the QRM transition: Group Treasury moving onto a new ALM model is the precise problem I have worked through from the vendor and analytics side — data validation, parallel testing, output reconciliation, and reporting alignment. Pairing that platform-transition experience with hands-on IRRBB measurement and executive-reporting depth is an unusual combination for an 18-month contract, and I expect it to compress the ramp-up materially.</w:t>
      </w:r>
    </w:p>
    <w:p>
      <w:r>
        <w:t>I am Toronto-based, available for interviews immediately, and can commit to a start approximately four weeks after offer acceptance. I hold the CFA charter and dual MSc degrees from Western University. References available on request.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