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Manager / Senior Manager, Quantitative Market Risk Models – Financial Engineering and Modeling candidate with ~7 years across quantitative model validation, derivatives pricing review, and model governance at Moody's Analytics, EY, and Ortec Finance. Holds delegated sign-off authority on valuation, sensitivity, and risk outputs for multi-asset institutional portfolios ($5–25bn per engagement). Hands-on with stochastic scenario generation, Monte Carlo simulation, and Python analytics. CFA charterholder with dual MSc (Financial Modelling; Chemical Engineering — PDE and numerical-methods foundation); applied working knowledge of VaR/CVaR; familiar with FRTB and CCAR frameworks through client-advisory context, not direct trading-book capital submission.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Quantitative Model Validation &amp;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Pricing Review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Monte Carlo Simulation &amp; Stochastic Scenario Generation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Value-at-Risk (VaR) &amp; Conditional VaR (CVaR)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Construction &amp;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Analytics (Parallel &amp; Non-Parallel Shocks)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Sign-Off &amp; Documentation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(Advanced), SQL (Intermediate), MATLAB (Intermediate), R (Intermediate)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PDE &amp; Numerical Methods (Chemical Engineering MSc)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– Modelling Services (Investment &amp; ALM Risk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Derivatives Pricing Review &amp; Quantitative Model Validation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risk outputs delivered to institutional client portfolios ranging $5–25bn per engagement (cumulatively ~$50bn+); independently reviews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 — reviews sensitivity consistency and scenario impacts at portfolio-level aggregates; escalates outputs lacking mathematical or economic defensibility.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interest rate risk and duration analytics under parallel and non-parallel rate shocks; applies quantitative methodologies analogous to sensitivities-based market-risk frameworks.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Documentation &amp; Stakeholder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model-governance framework — reviews assumptions, validates economic defensibility, and documents to standards consistent with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as escalation point for client-critical analytical issues, interfacing with Heads of Risk and investment stakeholders at Canadian and U.S.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quantitative summaries for senior stakeholders on interest rate exposure, scenario impacts, and sensitivity behaviour; translates model outputs into 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Model Development &amp; Python Tooling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embedding behavioral assumptions, prepayment logic, and macro stress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validation, logging, and version control.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 — reducing development cycle time by an estimated 30–40%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– PFaroe Analytics Platform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advised on asset, liability, and risk-model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PFaroe PM, translating client investment-team requirements into structured Product Owner development requests.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model and technology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delivery, governance documentation,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using Monte Carlo simulation to assess interest rate, inflation, FX, and equity risk under base-case and stressed environments for pension and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based on VaR and CVaR using Ortec's GLASS platform; conducted risk decomposition, contribution-to-risk attribution,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fixed-income and derivatives positions alongside actuarial liabilities; performed cash-flow, liquidity, and hedging analysis across interest 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quantitative findings — including duration, currency, inflation, and leverage-overlay strategies —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