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14, 2026</w:t>
      </w:r>
    </w:p>
    <w:p>
      <w:r>
        <w:t>Re: Manager / Senior Manager, Quantitative Market Risk Models – Financial Engineering and Modeling — Deloitte</w:t>
      </w:r>
    </w:p>
    <w:p>
      <w:r>
        <w:t>Dear Hiring Team,</w:t>
      </w:r>
    </w:p>
    <w:p>
      <w:r>
        <w:t>At Moody's Analytics I currently hold delegated sign-off authority on valuation, sensitivity, and risk outputs for multi-asset institutional portfolios ranging $5–25bn per engagement — independently reviewing derivatives pricing, curve calibration, and sensitivity behaviour before any output reaches a client. That model-validation and quantitative-governance discipline maps directly onto what Deloitte's Financial Engineering and Modeling group does for its banking clients, and it is why I am applying for the Manager / Senior Manager, Quantitative Market Risk Models – Financial Engineering and Modeling role.</w:t>
      </w:r>
    </w:p>
    <w:p>
      <w:r>
        <w:t>Over the past four years at Moody's I have reviewed rates, FX, and inflation derivatives outputs, run interest-rate risk analytics under parallel and non-parallel shocks, and operated within a formal model-governance framework consistent with SR 11-7 and OSFI E-23 expectations. I led the design of a multi-scenario cash flow projection engine and rebuilt legacy spreadsheet workflows into auditable Python pipelines. At Ortec Finance I built and interpreted stochastic economic scenario generators using Monte Carlo simulation and performed VaR/CVaR-based portfolio optimization, risk decomposition, and hedging analysis for Canadian pension and institutional clients — presenting quantitative findings to investment committees. My dual MSc (Financial Modelling and Chemical Engineering from Western University) provides the PDE and numerical-methods foundation — finite-difference methods, binomial trees, Monte Carlo — that your practice builds on, and my CFA consolidates the practitioner credential. I will be transparent that my derivatives-validation experience has been on the buy-side institutional and ALM side rather than in a bank's trading-book capital team; I am building fluency in FRTB and CCR/xVA through structured study and see Deloitte's practice as the right environment to make that transition credible.</w:t>
      </w:r>
    </w:p>
    <w:p>
      <w:r>
        <w:t>What draws me specifically to this role is Deloitte's client roster — the most sophisticated Canadian and international banks — and the breadth of the mandate across pricing, VaR/ES, and regulatory capital models. I am Toronto-based, available for interviews immediately, and can commit to a start approximately four weeks after offer acceptance. Resume attached; references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