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Manager, Market Risk candidate with ~7 years across investment risk analytics, multi-asset portfolio analytics, and institutional ALM at Moody's Analytics, EY, and Ortec Finance. Hands-on with VaR/CVaR portfolio optimization, risk decomposition and attribution, stress and scenario analysis, and derivatives sensitivities across fixed income, multi-asset, and pension mandates. Strong Python and AI-enabled workflow record. CFA charterholder with dual MSc (Financial Modelling, Engineering).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Market Risk Analysis &amp; Oversight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VaR / CVaR / Expected Shortfall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Attribution &amp; Decomposition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Fixed Income, Multi-Asset &amp; Derivatives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Sensitivity Analysis &amp; Exposure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Multi-Asset Portfolio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&amp; SQL Analytics Pipelines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AI-Enabled Workflows (Claude Code, Cursor)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PROFESSIONAL 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Director,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Independent Risk Oversight &amp; Exposure Analysis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 analysis, and portfolio risk outputs delivered to multi-asset institutional client portfolios ranging $5-25bn per engagement, cumulatively covering ~$50bn of assets across fixed income, derivatives, and multi-asset mandates.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outputs across rates, FX, and inflation; cross-check sensitivity and exposure consistency at the portfolio level to support independent risk assessments of investment strategies.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 interest-rate and duration analysis under parallel and non-parallel rate shocks, linking risk measures to portfolio positioning and market movements to support risk-aware investment decisions.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Stress Testing, Scenario Analysis &amp; Risk Attribution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 multi-asset cash flow projection engine supporting base, stress, and reverse-stress scenarios across fixed-income and multi-asset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analytics (T+1 through multi-year) enabling sensitivity analysis, scenario, and exposure analytics used in asset-allocation and hedging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behavioral assumptions and macro stress overlays, linking market movements to portfolio-level risk attribution outputs reviewed by Heads of Risk and investment stakeholders.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Analytics Automation &amp; AI-Enabled Tooling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scalable, auditable Python analytics pipelines with embedded logging and validation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anomaly detection, and documentation — reducing development cycle time ~30-40% on comparable modules, with human sign-off retained on governance-critical outputs.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on portfolio exposures, scenario impacts, and sensitivities — translating quantitative outputs into decision-ready insights for Heads of Risk and investment teams.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on the PFaroe multi-asset analytics platform; advised on portfolio, risk, and ALM configurations and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Translated investment-team requirements into structured development requests; contributed to successful migration of all assigned client accounts from a legacy Calypso environment to PFaroe.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Consultant,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regulatory requirements with system implementation and risk-reporting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finance, IT, risk, and program-management teams on milestone delivery, governance documentation, and implementation materials.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Consultant,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portfolio optimization based on VaR and CVaR using Ortec's GLASS platform; ran risk decomposition, contribution-to-risk, and near-optimal frontier analysis to test robustness of allocation recommendations for institutional investors.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interest-rate, inflation, and currency risk under base-case and stressed environments for Canadian and international pension funds.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liability-driven investment (LDI) analysis and cash flow, liquidity, and hedging analytics across multi-asset mandates; presented findings to investment committees on duration, currency, and leverage overlay strategies.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inaugural ALM study for the University Pension Plan (UPP) merger, validating the model capturing Funding Policy dynamics across three predecessor plans.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