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14, 2026</w:t>
      </w:r>
    </w:p>
    <w:p>
      <w:r>
        <w:t>Re: Manager, Market Risk — HOOPP</w:t>
      </w:r>
    </w:p>
    <w:p>
      <w:r>
        <w:t>Dear Hiring Team,</w:t>
      </w:r>
    </w:p>
    <w:p>
      <w:r>
        <w:t>At Moody's Analytics I hold delegated sign-off authority on valuation, sensitivity, and portfolio risk outputs delivered to multi-asset institutional portfolios ranging $5-25bn per engagement — the same discipline of independent risk oversight, exposure monitoring, and risk-aware partnership with investment teams that HOOPP's Manager, Market Risk role is built around.</w:t>
      </w:r>
    </w:p>
    <w:p>
      <w:r>
        <w:t>My market-risk toolkit maps directly onto what this role requires. At Ortec Finance I performed asset-only and asset-liability portfolio optimization on VaR and CVaR using the GLASS platform, ran risk decomposition and contribution-to-risk analysis, and built stochastic scenario generators covering interest-rate, inflation, and currency risk across multi-asset pension mandates — including the inaugural ALM study for the University Pension Plan merger. At Moody's I have extended that into derivatives sensitivity validation across rates, FX, and inflation, and led the design of a multi-scenario stress testing and cash flow engine that links market movements to portfolio-level attribution. I have re-engineered manual workflows into auditable Python pipelines and deployed agentic AI workflows (Claude Code, Cursor) that cut development cycle time approximately 30-40% on comparable modules — the same combination of technical execution and judgement to validate AI-generated outputs that the posting calls out explicitly.</w:t>
      </w:r>
    </w:p>
    <w:p>
      <w:r>
        <w:t>What draws me specifically to HOOPP is the chance to partner directly with portfolio managers on independent risk assessments, limit monitoring, and scenario analysis for a Fund whose purpose is to deliver retirement security for Ontario's healthcare workers. The newly created nature of this role and its Capital Markets focus are exactly the environment where I want to apply this experience. The CFA charter and dual MSc degrees in Financial Modelling and Chemical Engineering round out the quantitative bench. I am Toronto-based, available for interviews immediately, and can start approximately four weeks after offer acceptance. References are available on request. Thank you for considering my application.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