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Model Risk Governance candidate with ~7 years across model risk management, model validation, and risk analytics at Moody's Analytics, EY, and Ortec Finance. Holds delegated sign-off authority on analytical outputs for multi-asset institutional portfolios under a formal MRM framework with documentation standards and escalation protocols aligned with SR 11-7 and OSFI E-23 expectations. Practiced in policy and control documentation, exception identification and escalation, executive risk reporting, and model-output auditability. CFA charterholder, dual MSc; advanced Python and SQL; Excel/VBA and Power BI.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Management framework, policy &amp; standards documentation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OSFI E-23 · SR 11-7 applied knowledge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validation, performance monitoring, exception tracking &amp; issue escalation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model review, challenge &amp; delegated sign-off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Audit-ready documentation &amp; internal control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Regulatory reporting &amp; executive risk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 · SQL (intermediate) · Excel/VBA (advanced)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Power BI (applied) · Git / version control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management across Risk, Finance &amp; Audit functions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Sign-Off &amp; Independent Review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delivered to multi-asset institutional client portfolios ($5-25bn per engagement; ~$50bn+ cumulative book).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a formal model risk management framework — independently reviews curve construction, spread calibration, cross-asset assumptions, and economic defensibility prior to production release, consistent with SR 11-7 and OSFI E-23 documentation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Escalates outputs lacking mathematical or economic defensibility; serves as escalation point for client-critical analytical issues, interfacing directly with Heads of Risk and senior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Validation, Controls &amp; Performance Monitoring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Authors and maintains model documentation capturing behavioral assumptions, prepayment logic, and macro stress overlays — ensuring traceability and alignment with internal control and audit-readiness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auditable Python analytics pipelines with embedded logging, validation checks, and version control — strengthening the governance audit trail for model outputs.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Conducts model validation of derivatives pricing outputs (rates, FX, inflation) and cross-checks sensitivity consistency at portfolio-level aggregates; captures exceptions and tracks through to remediation, consistent with model performance monitoring and issue management processes.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Regulatory Reporting, Automation &amp; Executive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and executive-level presentations for senior stakeholders covering interest-rate exposure, scenario impacts, and balance-sheet sensitivities — translating quantitative outputs into decision-ready narratives.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documentation — reducing development cycle time by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covering model configuration, assumption embedding, and output validation across scope.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- PFaroe Platform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structured Product Owner requests; supported model configuration scoping and post-deployment output attestation across all assigned accounts.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 — contributed to governance documentation, control design, and regulatory 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IT, finance, and program-management functions on milestone delivery, ensuring cross-functional alignment on governance and reporting standards.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and ALM models for Canadian and international pension-fund clients; supported model documentation that informed client-side governance and model validation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(VaR, CVaR) with risk decomposition and attribution using Ortec's GLASS platform; presented findings to investment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ALM modelling for a three-plan university pension merger — co-developed and validated the model capturing all Funding Policy dynamics, evaluating duration, currency, inflation,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