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14, 2026</w:t>
      </w:r>
    </w:p>
    <w:p>
      <w:r>
        <w:t>Re: Senior Manager, Model Risk Governance — Scotiabank</w:t>
      </w:r>
    </w:p>
    <w:p>
      <w:r>
        <w:t>Dear Hiring Team,</w:t>
      </w:r>
    </w:p>
    <w:p>
      <w:r>
        <w:t>At Moody's Analytics I hold delegated sign-off authority on valuation, sensitivity, and ALM outputs for multi-asset institutional portfolios ($5–25bn per engagement), operating within a formal model-governance framework with documentation standards, exception escalation protocols, and audit-readiness requirements aligned with SR 11-7 and OSFI E-23 expectations — the practitioner side of the policy, performance-monitoring, and inventory-accountability discipline the Senior Manager, Model Risk Governance role owns enterprise-wide at Scotiabank.</w:t>
      </w:r>
    </w:p>
    <w:p>
      <w:r>
        <w:t>Over the past four years at Moody's I have independently reviewed model assumptions, curve construction, and cross-asset calibrations prior to production release; escalated outputs lacking economic defensibility; and rebuilt spreadsheet workflows into auditable Python pipelines with embedded logging, validation checks, and version control. I have authored the documentation sitting behind sign-off decisions, tracked exceptions through to remediation, and prepared executive-level presentations on scenario impacts and balance-sheet sensitivities for Heads of Risk and senior investment stakeholders. Earlier at EY I contributed to governance documentation, control design, and regulatory readiness processes on IFRS 17 and IFRS 9 transformation engagements for Canadian and international insurers; at Ortec Finance I built and validated stochastic ALM models and scenario generators for pension-fund clients, with documentation supporting client-side model reviews. I hold the CFA charter and dual MSc degrees (Financial Modelling, Chemical Engineering) from Western University, and work daily in Python and SQL with Power BI for reporting.</w:t>
      </w:r>
    </w:p>
    <w:p>
      <w:r>
        <w:t>What draws me specifically to this role is the scope of the governance mandate — leading the design and continuous enhancement of the enterprise MRM Framework, Policy, and Standards; refining the model risk rating methodology; and embedding performance monitoring across all model types and business lines as E-23 takes full effect. My work already spans the practitioner, documentation, and reporting layers of model risk, and I am ready to apply that depth on the enterprise governance side of the function, across Scotiabank's model inventory and material subsidiaries.</w:t>
      </w:r>
    </w:p>
    <w:p>
      <w:r>
        <w:t>I am Toronto-based, available for interviews immediately, and can start approximately four weeks after offer acceptance.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