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Candidate for Manager, Investment Structure Management with ~7 years coordinating cross-functional teams through complex analytical and operational deliverables for institutional investors. Supports investing, Finance, Operations, and advisory partners through transaction-related workflows, governance documentation, and post-close maintenance — drawing on multi-asset analytics at Moody's Analytics, IFRS transformation delivery at EY, and pension ALM advisory at Ortec Finance. CFA charterholder; dual MSc; deploys AI tools to streamline analytical workflows and drive continuous improvement in operational processes.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coordination (Finance, Legal, Operations, external advisors)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Transaction workflow support and closing project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Governance documentation and institutional controls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institutional investment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Operational process design and continuous improvement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Quarterly reporting and senior-stakeholder communication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 tools (Claude Code, Cursor IDE) for workflow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analytics pipelines; Excel (Advanced)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CFA charterholder; dual MSc (Financial Modelling, Engineering)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Assistant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Cross-functional Transaction &amp; Analytical Support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multi-asset institutional client portfolios ($5–25bn per engagement; ~$50bn cumulative) — coordinate review across internal modelling, product, and client-facing teams prior to each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as escalation point for client-critical analytical issues, interfacing with clients' Heads of Risk and investment stakeholders to resolve structural and methodological complexities across fixed income, derivatives, and multi-asset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 quantitative outputs into committee-ready narratives for senior stakeholders covering exposure, scenario impacts, and balance-sheet sensitivities.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Controls &amp; Ongoing Maintenance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Moody's formal model-governance framework — independently review assumptions, escalate outputs lacking economic defensibility, and maintain review-trail documentation consistent with institutional control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quarterly stakeholder reviews covering interest-rate exposure, scenario impacts, and portfolio sensitivities — supporting visibility into operational and risk metrics.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Process Innovation &amp; AI-Enabled Workflows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delivery of an enterprise multi-asset cash-flow projection engine supporting base, stress, and reverse-stress scenarios — replacing a manual spreadsheet workflow with a scalable, auditable platform.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recurring analytical workflows from spreadsheets into Python pipelines with embedded logging and auditability controls, delivering measurable continuous improvement in accuracy and cycle time.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Deployed agentic AI tools (Claude Code, Cursor IDE) to automate code generation, validation scaffolding, anomaly detection, and documentation — reducing development cycle time by an estimated 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an enterprise analytics platform — coordinated timelines, milestones, and pre-go-live activities across internal and client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Moody's Product Owners and developers — scoped requirements into structured development requests and tracked implementation timelines through go-live.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Transitioned all assigned client accounts from a legacy Calypso environment to the PFaroe PM platform, validating model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 — aligned regulatory requirements with system implementation, financial-reporting, and governance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cross-functional delivery across actuarial, finance, IT, risk, and program-management teams on milestone planning, implementation materials, and governance documentation.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IFRS 17 advisory product offerings and go-to-market collateral, supporting methodology development and client-facing pursuits.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and Strategic Asset Allocation advisory for Canadian and international pension funds and institutional investors — analyzed funding ratios, duration alignment, and long-horizon balance-sheet exposures across multi-asset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 — including risk decomposition, attribution,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onboarding and ALM study for the University Pension Plan (UPP) — a three-plan jointly-sponsored pension merger — on a team of three building and validating the model capturing all Funding Policy dynamics; evaluated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to investment committees at pension-fund clients and coordinated with internal and external advisors across multi-stakeholder engagements.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