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15, 2026</w:t>
      </w:r>
    </w:p>
    <w:p>
      <w:r>
        <w:t>Re: Manager, Investment Structure Management — CPP Investments</w:t>
      </w:r>
    </w:p>
    <w:p>
      <w:r>
        <w:t>Dear Hiring Team,</w:t>
      </w:r>
    </w:p>
    <w:p>
      <w:r>
        <w:t>For four years at Moody's Analytics I have sat in a seat that closely mirrors what the Manager, Investment Structure Management role at CPP Investments is built around: coordinating investing teams, Finance, Operations, and external advisors through complex transaction workflows, governance documentation, and post-close analytical maintenance for institutional investors across multi-asset mandates. That cross-functional operating rhythm — moving a deal from pre-close structuring work through to ongoing entity-level oversight — is where my last seven years have been spent.</w:t>
      </w:r>
    </w:p>
    <w:p>
      <w:r>
        <w:t>My current mandate combines transaction-execution coordination with operational-process design. On the coordination side, I project-manage analytical deliverables across internal partners, maintain governance documentation and review trails that institutional controls require, and hold delegated sign-off authority on valuation and analytical outputs for client portfolios of $5–25bn per engagement. On the process side, I led the build of an enterprise multi-asset cash-flow projection engine, re-engineered spreadsheet workflows into auditable Python pipelines, and deployed agentic AI tooling (Claude Code, Cursor IDE) that reduced development cycle time by an estimated 30–40% — directly analogous to the continuous improvement and AI application mandate in the ISM role. Before Moody's, at EY's Financial Risk Transformation practice I coordinated IFRS 17 and IFRS 9 programs requiring exactly the kind of actuarial-finance-IT-legal alignment ISM convenes on every transaction. At Ortec Finance I advised Canadian pension funds — including the University Pension Plan jointly-sponsored merger — on multi-stakeholder structural decisions, presenting findings directly to investment committees.</w:t>
      </w:r>
    </w:p>
    <w:p>
      <w:r>
        <w:t>What draws me specifically to CPP Investments is the scale and complexity of the structures ISM manages across Credit, Private Equity, and Real Assets globally, and the genuine cross-functional mandate that comes with this role. The CFA charter, dual MSc in Financial Modelling and Chemical Engineering, and seven years of direct institutional-client delivery round out the qualifications you have listed. I am Toronto-based, available for interviews immediately, and could start approximately four weeks after offer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