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Director, Investment Risk candidate with ~7 years across multi-asset institutional investment-risk analytics — VaR / CVaR portfolio optimization, risk decomposition and attribution, scenario and stress testing, and stochastic Monte Carlo modelling. Held delegated sign-off authority on valuation, sensitivity, and ALM outputs for institutional portfolios of $5–25bn per engagement at Moody's Analytics; LDI and long-horizon scenario depth from Ortec Finance pension mandates. CFA charter, dual MSc (Financial Modelling, Engineering), Python-advanced.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Risk Measurement &amp;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&amp; CVaR Portfolio Optimization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Sensitivity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&amp; Monte Carlo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Liability-Driven Investment (LDI)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CFA · Dual MSc Quant Foundation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Risk Measurement &amp;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risk outputs for multi-asset institutional portfolios ranging $5–25bn per engagement, cumulatively covering ~$50bn+ of institutional assets across the book.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Independently review curve construction, spread calibration, and cross-asset interactions; escalate outputs lacking economic defensibility to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sensitivity consistency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 Analysis, Stress Testing &amp; Cash-Flow Projection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short- and long-horizon investment views.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liquidity-gap analytics (T+1 through multi-year) supporting funding decisions, refinancing risk assessment, and asset-allocation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assumptions, prepayment logic, and macro stress overlays into scenario outputs feeding portfolio-level risk reporting.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Engineering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Cursor) automating code generation, validation scaffolding, and anomaly detection — reducing development cycle time on comparable modules by an estimated 30–40%.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rate exposure, scenario impacts, and portfolio sensitivities — translating quantitative outputs into investment-committee-ready narratives.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multi-asset analytics platform.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owners; advised on asset, liability, and portfolio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Successfully migrated all assigned client accounts from the legacy Calypso environment to the PFaroe PM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risk and accounting frameworks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 teams on adoption and governance documentation; contributed to regulatory-readiness processes for financial institutions.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based on VaR and CVaR using Ortec's GLASS platform; conducted risk decomposition, risk attribution, contribution-to-risk, risk-budgeting, and near-optimal frontier analysis to test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interest-rate, inflation, and currency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LDI studies for Canadian and international pension funds and institutional investors; advised on Strategic and Tactical Asset Allocation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exposures; modelled pension actuarial liabilities alongside all major investment-product types.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at client on-site meetings, including discussions with pension-fund investment committees; led the ALM study for the University Pension Plan (UPP) JSPP merger of three university plans.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