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15, 2026</w:t>
      </w:r>
    </w:p>
    <w:p>
      <w:r>
        <w:t>Re: Director, Investment Risk — Canada Infrastructure Bank</w:t>
      </w:r>
    </w:p>
    <w:p>
      <w:r>
        <w:t>Dear Hiring Team,</w:t>
      </w:r>
    </w:p>
    <w:p>
      <w:r>
        <w:t>At Moody's Analytics I currently hold delegated sign-off authority on valuation, sensitivity, and risk outputs for multi-asset institutional portfolios ranging $5–25bn per engagement — the measurement, challenge, and oversight discipline that underpins the Director, Investment Risk mandate at Canada Infrastructure Bank. I would like to be considered for this role.</w:t>
      </w:r>
    </w:p>
    <w:p>
      <w:r>
        <w:t>My investment-risk analytics depth is built from two complementary practitioner foundations. At Ortec Finance I ran asset-only and asset-liability (surplus) portfolio optimization on VaR and CVaR through the GLASS platform, with hands-on risk decomposition, contribution-to-risk, risk budgeting, and near-optimal frontier robustness analysis for Canadian and international institutional clients. I built and interpreted stochastic economic scenario generators to assess interest-rate, inflation, and currency risk, and delivered LDI and hedging studies — including the University Pension Plan JSPP merger — presenting findings directly to investment committees. At Moody's Analytics I have led the design of a multi-asset cash-flow projection engine supporting base, stress, and reverse-stress scenarios, validated derivatives outputs across rates, FX, and inflation, and re-engineered manual spreadsheet workflows into scalable, auditable Python analytics pipelines. I hold the CFA charter and dual MSc degrees in Financial Modelling and Chemical Engineering from Western University.</w:t>
      </w:r>
    </w:p>
    <w:p>
      <w:r>
        <w:t>What draws me specifically to CIB is the opportunity to apply institutional-grade investment-risk measurement — VaR and CVaR analytics, risk decomposition, multi-asset scenario analysis, and Monte Carlo modelling — to a portfolio whose long-duration cash flows, illiquidity profile, and macro sensitivity make those tools especially consequential. My quantitative foundation, scenario-engine experience, and institutional-investor mentality from Ortec and Moody's translate directly; the infrastructure sector is the learning curve I am most motivated to climb. I am based in Toronto, available to interview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