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IRRBB Manager candidate with ~7 years across ALM, interest rate risk, and cash flow engine delivery. Holds delegated sign-off authority on valuation, sensitivity, and ALM outputs for multi-asset institutional portfolios at Moody's Analytics ($5–25bn per engagement). Led design of a multi-scenario cash flow projection engine with behavioral overlays, supporting scenarios analogous to NII and EVE analytics. CFA charter; dual MSc (Financial Modelling, Engineering); Python and SQL proficient.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Asset-Liability Management (ALM)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(IRRBB)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Cash Flow Engine Design &amp; Implementation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Behavioral Assumptions (Prepayment, Macro Stress Overlays)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&amp; Sensitivity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NII &amp; EVE Analytics (analogous framework)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Validation &amp;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SQL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ALM System Implementation &amp; Migration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Cash Flow Engine &amp; Balance Sheet Modeling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across ALM horizons — analogous to NII and EVE projection frameworks used in bank IRRBB programs.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supporting balance sheet forecasting and funding optimization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assumptions, prepayment logic, and macro stress overlays aligned with regulatory liquidity and IRRBB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 and validation controls.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Interest Rate Risk Analytics &amp; Model Governance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for multi-asset institutional portfolios sized $5–25bn per engagement (~$50bn+ cumulative).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 rate risk and duration analysis under parallel and non-parallel rate shocks, aligned with IRRBB frameworks analogous to OSFI B-12 and Basel Committee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inflation; reconcile sensitivities at portfolio-level ALM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curve construction, spread calibration, and cross-asset interactions prior to production release; escalate outputs lacking economic defensibility.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formal model-governance framework — review assumptions, assess economic defensibility, and maintain documentation consistent with SR 11-7 and OSFI E-23 expectations.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Scenario Analysis, Automation &amp; Stakeholder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for senior stakeholders on interest-rate exposure, scenario impacts, and balance-sheet sensitivities; serve as primary escalation point for Heads of Risk on client-critical analytical issues.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for code generation, validation scaffolding, and anomaly detection — reducing development cycle time ~30–40% on comparable modules.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of the PFaroe ALM system for U.S. and Canadian pension funds, asset managers, and consulting firms; advised clients on asset, liability, and ALM configurations.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owners; scoped requirements into development requests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the legacy Calypso platform to the PFaroe PM environment.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–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clients; aligned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regulatory-readiness processes; coordinated across actuarial, finance, IT, and risk functions on milestone delivery.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–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funds; analyzed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 rate risk and funding volatility under base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 rate, inflation, and currency risk; modelled actuarial liabilities alongside major investment products.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covering return objectives, duration alignment, and liquidity trade-offs; presented findings to investment committees at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–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–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–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