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15, 2026</w:t>
      </w:r>
    </w:p>
    <w:p>
      <w:r>
        <w:t>Re: IRRBB Manager — Mercury</w:t>
      </w:r>
    </w:p>
    <w:p>
      <w:r>
        <w:t>Dear Hiring Team,</w:t>
      </w:r>
    </w:p>
    <w:p>
      <w:r>
        <w:t>I am applying for the IRRBB Manager role at Mercury. At Moody's Analytics I currently hold delegated sign-off authority on valuation, sensitivity, and ALM outputs for multi-asset institutional portfolios ($5–25bn per engagement), and I led the design and implementation of an enterprise multi-scenario cash flow projection engine — the core infrastructure Mercury is staffing this role to build.</w:t>
      </w:r>
    </w:p>
    <w:p>
      <w:r>
        <w:t>The engine I designed supports base, stress, and reverse-stress scenarios with configurable time-bucketed liquidity gap analytics from T+1 through multi-year horizons. Behavioral cash flow assumptions, prepayment logic, and macro stress overlays are embedded in the model, and the upstream spreadsheet workflows were re-engineered into scalable, auditable Python pipelines. On the interest rate risk side, I oversee duration analysis under parallel and non-parallel rate shocks, validate derivatives sensitivities at portfolio-level ALM aggregates, and review curve construction and spread calibration prior to production release — work that maps directly onto the NII and EVE scenario production Mercury describes. Before Moody's, I spent two-and-a-half years at Ortec Finance delivering ALM studies for Canadian pension funds — funding-ratio analytics, LDI, and stochastic scenario generators for cash flow, liquidity, and hedging analysis — and a year at EY on IFRS 17 and IFRS 9 transformation, which gave me direct exposure to model documentation, governance, and audit-readiness expectations.</w:t>
      </w:r>
    </w:p>
    <w:p>
      <w:r>
        <w:t>What draws me to Mercury is the opportunity to take a cash flow engine from vendor selection through to monthly production runs in a fintech environment where modeling infrastructure must be scalable and well-documented from the outset. The combination of greenfield system implementation, behavioral assumption design, and cross-functional partnership with Finance and Risk is precisely the seat where my Moody's build experience, Ortec ALM roots, and CFA plus dual MSc background converge. I am Toronto-based, available for interviews immediately, and can start approximately four weeks after offer acceptance.</w:t>
      </w:r>
    </w:p>
    <w:p>
      <w:r>
        <w:t>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