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AVP, Asset Liability Management candidate with ~7 years across institutional ALM, interest rate risk analytics, investment-portfolio oversight, and IFRS-aligned financial reporting for insurance clients. Holds delegated sign-off on valuation, sensitivity, and ALM outputs for multi-asset portfolios at Moody's Analytics ($5–25bn per engagement). Delivered IFRS 17 and IFRS 9 transformation at EY for Canadian insurers and stochastic ALM and hedging studies at Ortec Finance for pension and institutional clients. CFA charterholder; dual MSc, Western University.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&amp; duration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Equity hedging analytics (rates, FX, inflation derivatives)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mandate monitoring &amp; portfolio-level risk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IFRS 17 &amp; IFRS 9 (delivered transformation for Canadian insurers)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OSFI guideline alignment (applied knowledge)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generation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Actuarial liability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advanced Excel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ALM Reporting, Strategy Assessment &amp; Risk-Return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institutional client portfolios ranging $5–25bn per engagement,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covering interest-rate exposure, scenario impacts, and balance-sheet sensitivities — translating quantitative outputs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and assess ALM configurations and analytical outputs to identify inconsistencies and opportunities to improve risk-return characterisation; escalate outputs lacking mathematical or economic defensibility, interfacing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Risk, Derivatives Validation &amp; Investment Mandate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 for multi-asset institutional portfolios, aligned with OSFI-style supervisory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inflation; cross-check sensitivity consistency at portfolio-level ALM aggregates supporting hedge-positioning and rebalancing reviews.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that feed downstream ALM, capital, and investment-mandate monitoring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 Flow Projection, Stress Testing &amp; Liquidity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delivering forward-looking liquidity and asset-allocation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optimisation,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cash-flow assumptions, prepayment logic, and macro stress overlays aligned with regulatory liquidity expectations.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platform, advising on asset, liability, and ALM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owners; scoped requirements, validated post-deployment model outputs, and migrated all assigned accounts from legacy Calypso to PFaroe.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insurers,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risk, and IT functions on IFRS 17 and IFRS 9 adoption; contributed to governance documentation and OSFI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cross-functional delivery across actuarial, finance, IT, risk, and programme management on implementation milestones.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investors; analysed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and interest-rate, inflation, and currency hedging studies; advised clients on Strategic and Tactical Asset Allocation trade-offs via stress and sensitivity testing.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optimisation on VaR and CVaR using Ortec's GLASS platform, with risk decomposition and near-optimal frontier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pension-fund actuarial liabilities alongside all major investment-product types; presented findings to investment committees, including the University Pension Plan merger study covering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