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15, 2026</w:t>
      </w:r>
    </w:p>
    <w:p>
      <w:r>
        <w:t>Re: AVP, Asset Liability Management — ivari</w:t>
      </w:r>
    </w:p>
    <w:p>
      <w:r>
        <w:t>Dear Hiring Team,</w:t>
      </w:r>
    </w:p>
    <w:p>
      <w:r>
        <w:t>I hold delegated sign-off authority on valuation, sensitivity, and ALM outputs for multi-asset institutional portfolios at Moody's Analytics — the same analytical discipline the AVP, Asset Liability Management role at ivari is built around. With ~7 years across institutional ALM, interest-rate risk analytics, and IFRS-aligned financial reporting for Canadian insurers, I would like to be considered for this position.</w:t>
      </w:r>
    </w:p>
    <w:p>
      <w:r>
        <w:t>At Moody's I prepare ALM summaries on interest-rate exposure, scenario impacts, and balance-sheet sensitivities for portfolios of $5–25bn per engagement; oversee parallel and non-parallel rate-shock analytics; and validate derivatives outputs across rates, FX, and inflation that inform hedge-positioning and rebalancing reviews. I led the design of an enterprise multi-scenario cash-flow projection engine — directly relevant to ivari's quarterly ALM dashboard and asset-rebalancing process. Before Moody's I delivered IFRS 17 and IFRS 9 transformation for Canadian insurers at EY, including governance documentation and OSFI regulatory-readiness work, and built stochastic ALM, LDI, and hedging studies for institutional clients at Ortec Finance, presenting findings to investment committees. While my direct LICAT experience is at the applied-knowledge level — developed through the insurance-client context at EY and Moody's — the underlying capital-framework reasoning maps closely onto the ALM-to-capital interface ivari's mandate requires.</w:t>
      </w:r>
    </w:p>
    <w:p>
      <w:r>
        <w:t>What draws me to ivari specifically is the scope of the accountability: assessing ALM strategies on an ongoing basis, monitoring investment mandates, reviewing and rebalancing hedge positions on direct equity and segregated-fund guarantees, and coordinating the quarterly rebalancing process across Corporate Actuarial and Finance under the CIO. My background — IFRS-fluent, OSFI-aligned, and grounded in both insurance-transformation and asset-management advisory contexts — maps directly onto how this role bridges Investments, Actuarial, and Risk at ivari.</w:t>
      </w:r>
    </w:p>
    <w:p>
      <w:r>
        <w:t>I am based in Toronto, available for interviews immediately, and can commit to a start approximately four weeks after offer acceptance. Resume attached; references available on request.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