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June 19, 2026</w:t>
      </w:r>
    </w:p>
    <w:p>
      <w:r>
        <w:t>Re: Senior Associate, Investment Engineering &amp; Analytics — CPP Investments</w:t>
      </w:r>
    </w:p>
    <w:p>
      <w:r>
        <w:t>Dear Hiring Team,</w:t>
      </w:r>
    </w:p>
    <w:p>
      <w:r>
        <w:t>At Moody's Analytics I hold delegated sign-off authority on production portfolio analytics delivered to multi-asset institutional clients in the $5–25bn range, and I led the design of a cash-flow projection engine that runs base, stress, and reverse-stress macro scenarios in production Python. That end-to-end ownership — from data architecture through model validation to output consumed by portfolio managers — is the work IEA's Senior Associate, Investment Engineering &amp; Analytics role describes, and it is what I do daily.</w:t>
      </w:r>
    </w:p>
    <w:p>
      <w:r>
        <w:t>Before Moody's, at Ortec Finance, I built the quantitative foundation that maps most directly to CMF's systematic macro mandate. I ran systematic asset-only and surplus portfolio optimization on VaR and CVaR through the GLASS platform, calibrated stochastic macro scenario generators across rates, inflation, FX, and multi-asset returns, and performed factor-style risk decomposition and attribution for Canadian and international institutional clients. That work traced the full loop CMF asks for: scenario design, optimization, attribution, and recommendation delivered to investment committees — including a three-plan university pension merger I led from model development through client presentation. On the engineering side, I have re-built spreadsheet workflows into auditable Python pipelines with proper logging and version control, and I run agentic AI workflows in Claude Code and Cursor IDE that have reduced comparable module cycle time by an estimated 30–40%. I hold the CFA charter and dual MSc degrees in Financial Modelling and Chemical Engineering from Western University.</w:t>
      </w:r>
    </w:p>
    <w:p>
      <w:r>
        <w:t>What draws me specifically to IEA is the combination of rigorous systematic research, live portfolio support, and a mandate to raise the engineering bar — including practical AI leverage — across a world-class investment team. I am Toronto-based, available for interviews immediately, and can start approximately four weeks after offer. Thank you for your time.</w:t>
      </w:r>
    </w:p>
    <w:p>
      <w:r>
        <w:t>Sincerely,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