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Data analyst and quantitative finance professional with ~7 years building data-driven analytics for institutional finance. CFA charterholder and dual MSc with hands-on Python, SQL, VBA and Excel application development; integrates large data sets across relational stores (PostgreSQL; Oracle-analogous environments) to surface credit and market insights. Has shipped production analytics pipelines, data-driven research reports and quantitative visualizations for global asset managers, pensions and insurers.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(pandas, NumPy, SciPy)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SQL &amp; Relational Databases (PostgreSQL; Oracle-analogous environments)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VBA &amp; Advanced Excel Application Development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Analytics Pipeline Development (Python-based ETL and workflow automation)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Large Data Set Integration &amp; Mining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Data Visualization (Plotly, matplotlib)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Credit, Fixed Income &amp; Capital Markets Knowledge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Quantitative Research &amp; Financial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Git / Version Control; CI-CD Pipelines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–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–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Analytics Pipeline &amp; Data Infrastructure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Excel and spreadsheet workflows into scalable, auditable Python analytics pipelines with embedded logging, validation and version control.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cash-flow projection engine integrating data from portfolio, instrument and market-data sources, supporting base, stress and reverse-stress scenarios.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analytics (T+1 through multi-year) connecting portfolio, instrument and market-data sets to surface funding and liquidity insights for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 and documentation – reducing development cycle time by an estimated 30–40% on comparable modules.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Data-Driven Research &amp;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Produced data-driven analytical summaries and presentations for senior client stakeholders covering interest-rate exposure, scenario impacts and balance-sheet sensitivities across multi-asset portfolios.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Held delegated sign-off authority on valuation, sensitivity and ALM outputs delivered to institutional client portfolios ranging $5–25bn per engagement; independently reviewed curve construction, spread calibration and cross-asset interactions prior to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Validated derivatives pricing outputs (rates, FX, inflation) and cross-checked sensitivity consistency at portfolio-level aggregates feeding downstream research and risk processes.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Cross-Functional Collaboration &amp; Product Implementation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Collaborated with product owners, modelling specialists and client investment teams on implementation of new analytics products and process improvements; translated quantitative findings into decision-ready narratives for Heads of Risk and investment stakeholders.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primary escalation point for client-critical analytical issues, reconciling methodology questions across technical and business functions.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 – PFaroe Platform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 and consulting firms migrating to an enterprise analytics platform; scoped client requirements into structured development requests for Product Owners.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the successful migration of all assigned client accounts from a legacy Calypso environment to the PFaroe PM platform, validating model and data outputs post-deployment.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–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projects for Canadian and international insurance clients, aligning accounting standards with data, system and financial-reporting architecture.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across actuarial, finance, IT and program-management teams on milestone delivery, governance documentation and regulatory-readiness materials.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–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integrating large market and macro data sets to assess interest-rate, inflation and currency risk under base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and liability-driven investment (LDI) analyses for Canadian and international pension funds; modelled actuarial liabilities alongside all major investment-product types and economic variables.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portfolio optimization based on VaR and CVaR, with risk decomposition and attribution analysis to test the robustness of allocation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data-driven findings – including quantitative scenario reports and sensitivity visualizations – to investment committees and senior stakeholders at pension-fund clients.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–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–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–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