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June 19, 2026</w:t>
      </w:r>
    </w:p>
    <w:p>
      <w:r>
        <w:t>Re: Analyst / Senior Analyst – Enhanced Analytics — Fitch Ratings</w:t>
      </w:r>
    </w:p>
    <w:p>
      <w:r>
        <w:t>Dear Hiring Team,</w:t>
      </w:r>
    </w:p>
    <w:p>
      <w:r>
        <w:t>For the past four years at Moody's Analytics I have operated exactly at the intersection the Analyst / Senior Analyst – Enhanced Analytics role describes: part analyst, part data engineer, building the Python pipelines and Excel applications that production research depends on, then using that infrastructure to produce data-driven outputs for institutional audiences. I would like to bring that hybrid capability to Fitch's CIPF Enhanced Analytics team.</w:t>
      </w:r>
    </w:p>
    <w:p>
      <w:r>
        <w:t>My day-to-day technical stack is Python (pandas, NumPy, SciPy), SQL against relational stores (PostgreSQL and Oracle-analogous environments), VBA-driven Excel applications, and Git-based CI/CD – the core toolkit your posting lists as required. In that context I re-engineered manual spreadsheet workflows into auditable Python pipelines, designed a multi-asset cash-flow projection engine connecting portfolio, instrument and market-data sets, and produced research-grade summaries on rates and balance-sheet sensitivities for clients across the $5–25bn range. More recently I have built agentic AI development workflows that reduced my team's build cycles by an estimated 30–40% on comparable modules. Before Moody's, at Ortec Finance I built and interpreted stochastic scenario generators integrating large market and macro data sets, and at EY I aligned accounting-standard data requirements with system and reporting architecture for insurance clients – both roles deepening the fixed-income and capital-markets context that CIPF analysts work in every day.</w:t>
      </w:r>
    </w:p>
    <w:p>
      <w:r>
        <w:t>What draws me specifically to this seat is the entrepreneurial scale: a small hybrid team shaping the tools and data products used by more than 400 corporate-credit analysts globally. That leverage point – where good infrastructure and good research compound each other – is exactly where I want to operate next. I hold the CFA charter and dual MSc degrees in Financial Modelling and Chemical Engineering from Western University, am Toronto-based, and am available to interview immediately. My resume is attached and references are available on request.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