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Model Risk Management Analyst, AVP candidate with ~7 years across independent model validation, ALM and credit risk modelling, and statistical analysis. At Moody's Analytics, holds delegated sign-off authority on valuation, sensitivity, and ALM outputs for multi-asset institutional portfolios, operating within a formal Model Governance Program — independently reviewing model assumptions, economic defensibility, and stress behaviour prior to production release. Practitioner depth in IFRS 9 transformation (EY) and stochastic scenario modelling (Ortec Finance). CFA charterholder; dual MSc (Financial Modelling,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Validation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&amp;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Statistical Analysis &amp; Stochastic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IFRS 9 (transformation delivery)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Inventory &amp; Annual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Validation Reports &amp; Findings Resolution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R (intermediate), SQL (intermediate)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&amp; Audit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Model Validation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institutional client portfolios ($5-25bn per engagement; ~$50bn+ cumulative), operating within Moody's formal Model Governance framework.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 independent review and challenge of curve construction, spread calibration, cross-asset interactions, and stress behaviour prior to production release; produce validation reports documenting findings to standards aligned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manage resolution of findings with model developers and serve as escalation point for client-critical analytical issues, interfacing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Modelling &amp; Statistical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sensitivity consistency at portfolio-level aggregates under parallel and non-parallel stress scenarios.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 multi-asset cash flow projection engine supporting base, stress, and reverse-stress scenarios; embedded behavioural cash flow assumptions, prepayment logic, and macro stress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logging, validation controls, and version tracking.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Documentation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model outputs, scenario impacts, and balance-sheet sensitivities — translating quantitative findings into clear narratives for non-technical audiences including risk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documentation — reducing development cycle time by an estimated 30-40%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structured Product Owner development requests; advised on asset, liability, and ALM model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9 and IFRS 17 technology-transformation projects for Canadian and international insurance clients; advised actuarial, IT, finance, and PM functions on standards adoption and governance documentation.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regulatory-readiness processes and developed advisory product offerings for IFRS 17 implementation — coordinating across finance, risk, and IT teams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validated stochastic economic scenario generators using Monte Carlo and statistical methods to assess interest rate, inflation, and funding-volatility risk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funds; analyzed funding ratios, duration mismatch, and long-term balance-sheet exposures; presented findings to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via Ortec's GLASS platform; conducted risk decomposition, attribution, and near-optimal 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ALM study for the University Pension Plan merger (three single-employer plans into a new jointly-sponsored plan) — on a team of three developing and validating the model capturing all Funding Policy dynamics and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