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June 19, 2026</w:t>
      </w:r>
    </w:p>
    <w:p>
      <w:r>
        <w:t>Re: Model Risk Management Analyst, AVP — MUFG Bank (Canada)</w:t>
      </w:r>
    </w:p>
    <w:p>
      <w:r>
        <w:t>Dear Hiring Team,</w:t>
      </w:r>
    </w:p>
    <w:p>
      <w:r>
        <w:t>I currently hold delegated sign-off authority on valuation, sensitivity, and ALM model outputs at Moody's Analytics — operating within a formal Model Governance framework, independently reviewing assumptions, economic defensibility, and stress behaviour before production release, and managing the resolution of findings with model developers. That review-and-challenge discipline is the core of the Model Risk Management Analyst, AVP mandate within MUFG's Quantitative Risk Control team, and it is the work I have been doing daily for the past three years.</w:t>
      </w:r>
    </w:p>
    <w:p>
      <w:r>
        <w:t>The quantitative depth the role asks for runs across my career record. At Moody's I validate derivatives pricing outputs across rates, FX, and inflation; I designed and implemented a multi-asset cash flow projection engine embedding behavioural assumptions and macro stress overlays; and I re-engineered spreadsheet workflows into auditable Python pipelines with embedded validation controls. At Ortec Finance I built and validated stochastic economic scenario generators using Monte Carlo and statistical methods — running VaR and CVaR portfolio optimization with full risk decomposition and attribution. At EY I delivered IFRS 9 transformation engagements for Canadian and international insurance clients, including the data-sourcing, methodology, and governance documentation that underpin IFRS 9 model estimates — the exact credit-reserve modelling context the QRC team oversees. I work primarily in Python (advanced), with working proficiency in R and SQL. The CFA charter and dual MSc degrees in Financial Modelling and Chemical Engineering anchor the quantitative profile.</w:t>
      </w:r>
    </w:p>
    <w:p>
      <w:r>
        <w:t>What draws me to MUFG specifically is the breadth of the QRC validation mandate — wholesale credit risk scoring, stress testing, economic capital, and IFRS 9 models sitting inside a single second-line team with direct regulator and internal audit exposure. I would bring the practitioner habit of reading a model output and asking whether it is economically defensible, not only mathematically valid, and the communication reflex of translating that judgment clearly for business owners, regulators, and audit. I am based in Toronto, available to interview immediately, and can start approximately four weeks after offer acceptance. Thank you for considering my application.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