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23, 2026</w:t>
      </w:r>
    </w:p>
    <w:p>
      <w:r>
        <w:t>Re: Associate Director - Project Manager - Risk Services — RBC Capital Markets</w:t>
      </w:r>
    </w:p>
    <w:p>
      <w:r>
        <w:t>Dear Hiring Team,</w:t>
      </w:r>
    </w:p>
    <w:p>
      <w:r>
        <w:t>For the past four years at Moody's Analytics I have driven execution of concurrent, complex risk-analytics initiatives — coordinating developers, QA teams, and business analysts; maintaining project tracking artifacts and issue logs; and translating technical status into executive-level summaries for senior PMO stakeholders and Heads of Risk. That delivery structure maps directly onto the Associate Director - Project Manager - Risk Services mandate within RBC Capital Markets Quantitative and Technology Services.</w:t>
      </w:r>
    </w:p>
    <w:p>
      <w:r>
        <w:t>My coordination footprint at Moody's spans the kind of enterprise risk build-outs described in your posting: leading the design and delivery of a multi-asset cash-flow projection and liquidity-gap engine, re-engineering manual workflows into auditable Python pipelines while managing shared engineering resources against aggressive release timelines, and maintaining delivery artifacts across multiple parallel initiatives with interdependent milestones. I hold delegated sign-off authority on valuation, sensitivity, and ALM outputs for multi-asset institutional portfolios ($5-25bn per engagement), which has trained me to surface risks early, escalate cleanly, and keep PMO reporting current and accurate. Before Moody's I delivered IFRS 17 and IFRS 9 transformation programs at EY in a matrix model across actuarial, finance, IT, and risk functions — a direct analogue to the multi-team coordination your Risk Services team requires — and ran ALM advisory engagements at Ortec Finance, including the UPP three-plan merger study, where I coordinated a cross-functional team under tight client deadlines and presented findings directly to investment committees.</w:t>
      </w:r>
    </w:p>
    <w:p>
      <w:r>
        <w:t>What draws me specifically to this role at RBC Capital Markets is that the Risk Services portfolio sits at the intersection of capital-markets risk content, enterprise delivery coordination, and senior-stakeholder communication — the three threads that have run through my entire career. I hold the CFA charter and dual MSc degrees in Financial Modelling and Chemical Engineering from Western University.</w:t>
      </w:r>
    </w:p>
    <w:p>
      <w:r>
        <w:t>I am based in Toronto, available for interviews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