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Associate Director, Enterprise Model Risk Management candidate with ~7 years across model validation, quantitative model development, and risk analytics. Currently operates within Moody's Analytics' formal model-governance framework with delegated sign-off on valuation, sensitivity, and risk outputs for multi-asset institutional portfolios. Hands-on Python and SQL practitioner; stochastic and Monte Carlo modelling foundations from dual MSc (Financial Modelling, Chemical Engineering); applied knowledge of OSFI E-23 and SR 11-7 validation standards. CFA charterholder.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Validation &amp; Independent Review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Risk &amp; Governance (OSFI E-23 / SR 11-7)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Quantitative Risk &amp; Statistical Modelling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Stochastic Modelling &amp; Monte Carlo Simulation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Benchmark Model Development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 (pandas, NumPy, SciPy)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SQL &amp; Large-Dataset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Documentation &amp; Governance Reporting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Stress Testing &amp; Scenario Analysis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Git / Version Control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VaR &amp; CVaR Analytics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- Modelling Services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2023 -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Independent Model Validation &amp; Challenge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Holds delegated sign-off authority on valuation, sensitivity, and risk outputs for multi-asset institutional client portfolios ranging $5–25bn per engagement; independently reviews curve construction, spread calibration, and cross-asset interactions prior to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Operates within a formal model-risk and governance framework — challenges assumptions, assesses economic and mathematical defensibility, and escalates outputs lacking quantitative support; maintains documentation standards consistent with SR 11-7 and OSFI E-23 expectations.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Validates derivatives pricing outputs across rates, FX, and inflation; cross-checks sensitivities and scenario impacts against benchmark calculations at portfolio-level aggregates.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Quantitative Model Development &amp; Benchmark Analysis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 multi-scenario cash-flow projection engine supporting base, stress, and reverse-stress scenarios — embedded behavioural assumptions, prepayment logic, and macro stress overlays.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auditable Python analytics pipelines under Git version control, with embedded logging, validation tests, and reconciliation against shadow runs to satisfy model-governance audit.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agentic AI development workflows (Claude Code, Cursor IDE) automating code generation, validation scaffolding, and anomaly detection — reducing validation cycle time by an estimated 30–40% on comparable modules.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Validation Reporting &amp; Stakeholder Recommendations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Prepared comprehensive model documentation and validation summaries for senior stakeholders covering scenario impacts, sensitivities, and methodology observations; serves as escalation point on client-critical analytical issues, interfacing with Heads of Risk and investment stakeholders.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2022 -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migrating to the PFaroe analytics platform; validated model outputs post-deployment.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Translated client investment-team requirements into structured Product Owner requests; advised on asset, liability, and risk-model configurations across the assigned book of accounts.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- IFRS &amp; Financial Risk Transformation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Sep 2021 -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transformation projects for Canadian and international insurance clients — aligned regulatory requirements with system implementation and contributed to governance documentation and regulatory-readiness processes.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Coordinated across actuarial, finance, IT, and risk teams on milestone delivery, implementation materials, and control documentation.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- Asset-Liability Management &amp; Risk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Feb 2019 -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using Monte Carlo techniques and statistical calibration to assess interest-rate, inflation, and currency risk under base-case and stressed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VaR and CVaR portfolio optimization (asset-only and asset-liability surplus) on the GLASS platform; conducted risk decomposition, contribution-to-risk, and near-optimal-frontier robustness analysis for institutional clients.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ALM studies for Canadian and international pension funds — analyzed funding ratios, duration mismatch, and long-term balance-sheet risk exposures; presented findings to investment committees on-site.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modelling and validation work for a three-plan university pension merger (JSPP) on a team of three — captured all Funding Policy dynamics and tested duration, currency, inflation, and leverage overlay strategies.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-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-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-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