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Risk Analytics &amp; Modelling candidate with ~7 years across instrument risk modelling, derivatives valuation, and multi-asset investment risk analytics for institutional portfolios. Delegated sign-off authority at Moody's Analytics covering rates, FX, and inflation derivatives; hands-on VaR/CVaR portfolio optimization, risk decomposition, and stochastic scenario design at Ortec Finance for Canadian pension funds. Strong Python and vendor risk-system depth; agentic AI workflows with LLMs in production. CFA charterholder, dual MSc (Financial Modelling;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Instrument Risk Modelling &amp; Derivatives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&amp; Market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&amp; Risk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Validation, Benchmarking &amp; Documentation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Pension Liability &amp; ALM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 &amp;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Vendor Risk Systems (PFaroe, Ortec GLASS)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 Agents &amp; LLM-Powered Automation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Instrument Risk Modelling &amp; Derivatives Valuation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risk outputs for multi-asset institutional portfolios ranging $5–25bn per engagement, cumulatively covering ~$50bn of client assets.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cross-check sensitivities and scenario impacts at portfolio-level aggregates for institutional clients including pension funds, asset managers, and their portfolio managers.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curve construction, spread calibration, and cross-asset interactions prior to production release; escalate outputs lacking mathematical or economic defensibility.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Market Risk Tools, Scenario Analysis &amp; Risk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across portfolio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exposure and liquidity analytics (T+1 through multi-year) supporting hedging, funding,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interest-rate and duration analysis under parallel and non-parallel shocks; prepared analytical commentary translating quantitative outputs into investment-committee-ready risk reports.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Validation, Python &amp; AI-Powered Automation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 governance framework — independent review and challenge, documentation, benchmarking, and assessment of model performance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leveraging LLMs (Claude Code, Cursor IDE) — automating code generation, validation scaffolding, anomaly detection, and documentation; reduced cycle time ~30–40%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of the PFaroe vendor risk and analytics platform for U.S. and Canadian pension funds, asset managers, and consulting firms.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product/development functions — scoped requirements, advised on asset, liability, and ALM configurations,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a legacy Calypso environment to the PFaroe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 — aligned liability measurement and reporting frameworks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risk functions on governance documentation, model controls, and regulatory readiness across complex insurer balance sheets.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— analyzed funding ratios, duration mismatch, and long-term balance-sheet risk, modelling actuarial liabilities alongside all major investment-product types and economic variables.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based on VaR and CVaR using Ortec's GLASS vendor risk system; conducted risk decomposition, contribution-to-risk, and near-optimal 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interest-rate, inflation, and currency risk under base and stressed environments; performed hedging analysis across rates, inflation, and FX.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trading off return objectives, duration alignment, and liquidity; presented findings to investment committees on Strategic and Tactical Asset Allocation through stress and sensitivity testing.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the University Pension Plan (UPP) three-plan merger — on a team of three, developed and validated the model capturing funding-policy dynamics,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