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29, 2026</w:t>
      </w:r>
    </w:p>
    <w:p>
      <w:r>
        <w:t>Re: Senior Manager, Risk Analytics &amp; Modelling — HOOPP</w:t>
      </w:r>
    </w:p>
    <w:p>
      <w:r>
        <w:t>Dear Hiring Team,</w:t>
      </w:r>
    </w:p>
    <w:p>
      <w:r>
        <w:t>I currently hold delegated sign-off authority on valuation, sensitivity, and risk outputs for multi-asset institutional portfolios at Moody's Analytics — instrument risk modelling and derivatives validation in the same vocabulary HOOPP's Risk Analytics and Modelling team uses every day. I would like to be considered for the Senior Manager, Risk Analytics &amp; Modelling role.</w:t>
      </w:r>
    </w:p>
    <w:p>
      <w:r>
        <w:t>Over the past four years at Moody's I have validated derivatives pricing outputs across rates, FX, and inflation; reviewed curve construction, spread calibration, and cross-asset interactions prior to production release; and led the design of a multi-scenario cash-flow projection engine producing base, stress, and reverse-stress views for institutional client portfolios. All of this work sits within a formal model governance framework — independent review, benchmarking, documentation, and assessment of model performance — and is delivered in close coordination with investment teams at pension-fund and asset-manager clients. I have re-engineered upstream workflows into auditable Python analytics pipelines and built agentic AI workflows (Claude Code, Cursor IDE) that have reduced comparable development cycles by 30–40%. At Ortec Finance earlier in my career, I modelled pension actuarial liabilities, ran VaR/CVaR asset-liability portfolio optimization and risk decomposition through Ortec's GLASS vendor risk system, and led the ALM study for the UPP three-plan merger — work directly analogous to the liability and portfolio-risk measurement challenges HOOPP's team faces at scale.</w:t>
      </w:r>
    </w:p>
    <w:p>
      <w:r>
        <w:t>HOOPP's $132bn fully-funded, LDI-anchored portfolio is exactly the kind of balance sheet where instrument modelling, derivatives risk, and liability behaviour must be measured in one coherent frame. I am a CFA charterholder with a dual MSc in Financial Modelling and Chemical Engineering, hands-on Python and vendor risk-system experience across two platforms, and a four-year track record of standing behind risk numbers that institutional clients act on. The opportunity to contribute that depth to the retirement security of Ontario healthcare workers is genuinely compelling.</w:t>
      </w:r>
    </w:p>
    <w:p>
      <w:r>
        <w:t>I am Toronto-based, available for interviews immediately, and can start approximately four weeks after offer acceptance. References are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