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July 03, 2026</w:t>
      </w:r>
    </w:p>
    <w:p>
      <w:r>
        <w:t>Re: Senior Investment Consultant — Aon</w:t>
      </w:r>
    </w:p>
    <w:p>
      <w:r>
        <w:t>Dear Hiring Team,</w:t>
      </w:r>
    </w:p>
    <w:p>
      <w:r>
        <w:t>I have spent ~7 years doing the core work Aon's Senior Investment Consultant role calls for: advising Canadian and international institutional investors — pension plans (DB), insurers, and endowments — on ALM, LDI, stress testing, liquidity gap analysis, and asset-allocation strategy. At Ortec Finance I delivered ALM studies for Canadian pension funds, built and interpreted stochastic scenario generators, ran asset-only and surplus optimization on VaR/CVaR, and presented findings on-site to investment committees. At Moody's Analytics I currently hold delegated sign-off authority on valuation, sensitivity, and ALM outputs for multi-asset institutional portfolios ranging $5–25bn per engagement, and I led the UPP onboarding — a three-plan JSPP merger — that required developing and validating a model capturing full Funding Policy dynamics, duration, currency, inflation, and leverage overlay strategies.</w:t>
      </w:r>
    </w:p>
    <w:p>
      <w:r>
        <w:t>What draws me specifically to Aon is the combination of a global OCIO research platform with a close-knit Canadian consulting team — where a Senior Investment Consultant shapes both the advice delivered to existing institutional clients and the direction of new offerings. Three parts of my background map directly onto what the role requires: first, practitioner depth across DB pension, insurance, and endowment mandates, with hands-on committee-presentation experience; second, technical range across ALM, LDI, stress and scenario analysis, and liquidity gap analytics that allows me to anticipate client analytical needs rather than react to them; and third, a track record of identifying service gaps and building solutions — at Moody's I re-engineered manual analytics workflows into scalable Python pipelines that became a delivery standard, and at EY I developed go-to-market collateral for a new IFRS 17 advisory offering. I also bring conversational French, which I understand is relevant given Aon's Quebec and bilingual-client interactions.</w:t>
      </w:r>
    </w:p>
    <w:p>
      <w:r>
        <w:t>I am based in Toronto, hold the CFA charter and dual MSc degrees from Western University, and am fully authorized to work in Canada without sponsorship. I am available for interviews immediately and can start approximately four weeks after offer acceptance. Thank you for considering my application.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