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38"/>
        </w:rPr>
        <w:t>Saber Ayatollahi</w:t>
      </w:r>
      <w:r>
        <w:rPr>
          <w:rFonts w:ascii="Avenir Next LT Pro" w:hAnsi="Avenir Next LT Pro" w:cs="Avenir Next LT Pro"/>
          <w:b w:val="0"/>
          <w:i w:val="0"/>
          <w:color w:val="1A1A1A"/>
          <w:sz w:val="22"/>
        </w:rPr>
        <w:t>, CFA, MSc</w:t>
      </w:r>
    </w:p>
    <w:p>
      <w:pPr>
        <w:spacing w:before="0" w:after="80" w:line="240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19"/>
        </w:rPr>
        <w:t>Toronto, Canada  •  +1 (416) 856-1276  •  saber.ayatollahi@gmail.com  •  www.linkedin.com/in/sayatollahi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SUMMARY</w:t>
      </w:r>
    </w:p>
    <w:p>
      <w:pPr>
        <w:spacing w:before="0" w:after="40" w:line="259" w:lineRule="auto"/>
        <w:jc w:val="both"/>
      </w:pPr>
      <w:r>
        <w:rPr>
          <w:rFonts w:ascii="Avenir Next LT Pro Light" w:hAnsi="Avenir Next LT Pro Light" w:cs="Avenir Next LT Pro Light"/>
          <w:b w:val="0"/>
          <w:i w:val="0"/>
          <w:color w:val="1A1A1A"/>
          <w:sz w:val="20"/>
        </w:rPr>
        <w:t>Candidate for the Principal, Total Portfolio Management Trading Desk role with ~7 years across fixed-income and FX analytics, derivatives valuation and sensitivity validation, liability-driven portfolio construction, and macro-rates scenario analysis for Canadian and global institutional plans. Holds delegated sign-off on multi-asset institutional portfolios; designed a multi-scenario cash-flow projection engine; conducted VaR/CVaR optimization, risk management, and cross-asset risk decomposition at Ortec Finance. Python and SQL in daily production use; VBA in professional context (reading, maintaining, refactoring). CFA charterholder; dual MSc in Financial Modelling and Chemical Engineering.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CORE SKILLS</w:t>
      </w:r>
    </w:p>
    <w:p>
      <w:pPr>
        <w:spacing w:before="0" w:after="40" w:line="269" w:lineRule="auto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Fixed Income &amp; FX Analytics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Derivatives Valuation &amp; Sensitivity (Rates, FX, Inflation)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Liability Hedging &amp; LDI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Macro-Rates Scenario &amp; Stress Analysis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Portfolio Construction &amp; Risk Decomposition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VaR / CVaR Optimization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Stochastic Scenario Generation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Python (Advanced), SQL (Intermediate), VBA (Working)</w:t>
      </w:r>
      <w:r>
        <w:rPr>
          <w:rFonts w:ascii="Avenir Next LT Pro" w:hAnsi="Avenir Next LT Pro" w:cs="Avenir Next LT Pro"/>
          <w:b w:val="0"/>
          <w:i w:val="0"/>
          <w:color w:val="BFBFBF"/>
          <w:sz w:val="20"/>
        </w:rPr>
        <w:t xml:space="preserve">  •  </w:t>
      </w: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AI-Enabled Analytics Workflows (Claude Code, Cursor IDE)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EXPERIENCE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Moody's Analytics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Asst. Director - Modelling Services (Investment &amp; ALM Risk Lead)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2023 - Present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Derivatives, Fixed Income &amp; FX Analytics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Validates derivatives pricing outputs across rates, FX, and inflation — reviews sensitivity consistency at portfolio-level aggregates for multi-asset institutional mandates prior to production release.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Reviews yield-curve construction, spread calibration, and cross-asset interactions; escalates outputs lacking economic defensibility to Heads of Risk and investment stakeholders.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Analyzes interest-rate and duration exposure under parallel and non-parallel shocks, supporting liability-sensitive positioning across ALM horizons.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Portfolio Analytics, Liability Hedging &amp; Stakeholder Reporting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Holds delegated sign-off authority on valuation, sensitivity, and ALM outputs for institutional client portfolios ranging $5–25bn per engagement (~$50bn+ cumulative book).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design and implementation of an enterprise multi-asset cash-flow projection engine supporting base, stress, and reverse-stress scenarios — provides forward-looking liquidity visibility to support liability-hedge sizing and funding decisions.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Architected configurable time-bucketed liquidity-gap analytics (T+1 through multi-year), enabling funding optimization and asset-allocation decisions across public-markets exposures.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Prepared analytical summaries for senior stakeholders on rate exposure, scenario impacts, and balance-sheet sensitivities, translating quantitative outputs into investment-committee-ready narratives.</w:t>
      </w:r>
    </w:p>
    <w:p>
      <w:pPr>
        <w:keepNext/>
        <w:spacing w:before="60" w:after="20" w:line="240" w:lineRule="auto"/>
      </w:pPr>
      <w:r>
        <w:rPr>
          <w:rFonts w:ascii="Avenir Next LT Pro" w:hAnsi="Avenir Next LT Pro" w:cs="Avenir Next LT Pro"/>
          <w:b/>
          <w:i w:val="0"/>
          <w:color w:val="1A1A1A"/>
          <w:sz w:val="21"/>
        </w:rPr>
        <w:t>Python, SQL &amp; AI-Enabled Tooling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Re-engineered manual spreadsheet workflows into scalable Python analytics pipelines with embedded logging, validation, and auditability controls.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agentic AI development workflows (Claude Code, Cursor IDE) automating code generation, validation scaffolding, and anomaly detection — reduced development cycle time an estimated 30–40% on comparable pricing, validation, and reporting modules.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Client Service Specialist - Buy-Side Solutions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May 2022 - May 2023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of U.S. and Canadian pension funds, asset managers, and consultants migrating to the PFaroe multi-asset platform — translated investment-desk requirements into development requests and validated post-deployment model outputs.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Migrated all assigned client accounts from legacy Calypso to PFaroe PM, advising on asset, liability, and ALM configurations.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Ernst &amp; Young (EY)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Senior Consultant - IFRS &amp; Financial Risk Transformation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Sep 2021 - Apr 2022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Delivered IFRS 17 and IFRS 9 transformation projects for Canadian and international insurance clients, aligning regulatory requirements with system implementation and financial-reporting frameworks.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Coordinated across actuarial, finance, IT, risk, and program-management functions on milestone delivery, governance documentation, and regulatory-readiness materials.</w:t>
      </w:r>
    </w:p>
    <w:p>
      <w:pPr>
        <w:keepNext/>
        <w:spacing w:before="100" w:after="0" w:line="240" w:lineRule="auto"/>
      </w:pPr>
      <w:r>
        <w:rPr>
          <w:rFonts w:ascii="Avenir Next LT Pro" w:hAnsi="Avenir Next LT Pro" w:cs="Avenir Next LT Pro"/>
          <w:b/>
          <w:i/>
          <w:color w:val="1A1A1A"/>
          <w:sz w:val="23"/>
        </w:rPr>
        <w:t>Ortec Finance Canada</w:t>
      </w:r>
    </w:p>
    <w:p>
      <w:pPr>
        <w:keepNext/>
        <w:spacing w:before="0" w:after="40" w:line="240" w:lineRule="auto"/>
      </w:pPr>
      <w:r>
        <w:rPr>
          <w:rFonts w:ascii="Avenir Next LT Pro" w:hAnsi="Avenir Next LT Pro" w:cs="Avenir Next LT Pro"/>
          <w:b/>
          <w:i/>
          <w:color w:val="1A1A1A"/>
          <w:sz w:val="21"/>
        </w:rPr>
        <w:t>Consultant - Asset-Liability Management &amp; Risk</w:t>
      </w:r>
      <w:r>
        <w:rPr>
          <w:rFonts w:ascii="Avenir Next LT Pro" w:hAnsi="Avenir Next LT Pro" w:cs="Avenir Next LT Pro"/>
          <w:b w:val="0"/>
          <w:i/>
          <w:color w:val="1A1A1A"/>
          <w:sz w:val="21"/>
        </w:rPr>
        <w:t xml:space="preserve">  |  Toronto, Feb 2019 - Sep 2021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asset-only and asset-liability (surplus) portfolio optimization on VaR and CVaR using Ortec's GLASS platform — with risk decomposition, contribution-to-risk analysis, and near-optimal frontier robustness testing to support allocation recommendations.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Built and interpreted stochastic economic scenario generators to assess interest-rate, inflation, and currency risk under base and stressed macro regimes for Canadian and international pension funds.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Conducted liability-driven investment (LDI) analysis for pension-fund clients — quantified trade-offs between return targets, duration alignment, and liquidity; delivered SAA and TAA recommendations to investment committees.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Performed cash-flow, liquidity, and hedging analysis across rates, inflation, and currency risk for international institutional clients; presented findings to investment committees on-site.</w:t>
      </w:r>
    </w:p>
    <w:p>
      <w:pPr>
        <w:tabs>
          <w:tab w:pos="259" w:val="left"/>
        </w:tabs>
        <w:spacing w:before="0" w:after="40" w:line="259" w:lineRule="auto"/>
        <w:ind w:left="259" w:hanging="259"/>
        <w:jc w:val="both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Led onboarding and the ALM study for the University Pension Plan (UPP) three-plan merger — on a team of three, modelled Funding Policy dynamics, duration, currency, inflation, and leverage-overlay strategies.</w:t>
      </w:r>
    </w:p>
    <w:p>
      <w:pPr>
        <w:keepNext/>
        <w:spacing w:before="140" w:after="60" w:line="240" w:lineRule="auto"/>
        <w:pBdr>
          <w:bottom w:val="single" w:sz="6" w:space="3" w:color="BFBFBF"/>
        </w:pBdr>
      </w:pPr>
      <w:r>
        <w:rPr>
          <w:rFonts w:ascii="Avenir Next LT Pro" w:hAnsi="Avenir Next LT Pro" w:cs="Avenir Next LT Pro"/>
          <w:b/>
          <w:i w:val="0"/>
          <w:color w:val="1A1A1A"/>
          <w:sz w:val="23"/>
          <w:caps w:val="true"/>
          <w:spacing w:val="20"/>
        </w:rPr>
        <w:t>EDUCATION &amp; CREDENTIALS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Chartered Financial Analyst (CFA) — CFA Institute, 2024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Financial Modelling — Western University, 2018</w:t>
      </w:r>
    </w:p>
    <w:p>
      <w:pPr>
        <w:tabs>
          <w:tab w:pos="259" w:val="left"/>
        </w:tabs>
        <w:spacing w:before="0" w:after="20" w:line="259" w:lineRule="auto"/>
        <w:ind w:left="259" w:hanging="259"/>
      </w:pPr>
      <w:r>
        <w:rPr>
          <w:rFonts w:ascii="Avenir Next LT Pro" w:hAnsi="Avenir Next LT Pro" w:cs="Avenir Next LT Pro"/>
          <w:b w:val="0"/>
          <w:i w:val="0"/>
          <w:color w:val="1A1A1A"/>
          <w:sz w:val="20"/>
        </w:rPr>
        <w:t>•</w:t>
        <w:tab/>
        <w:t>MSc, Chemical Engineering (Full Scholarship) — Western University, 2016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venir Next LT Pro" w:hAnsi="Avenir Next LT Pr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