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40" w:lineRule="auto"/>
      </w:pPr>
      <w:r>
        <w:rPr>
          <w:rFonts w:ascii="Avenir Next LT Pro" w:hAnsi="Avenir Next LT Pro" w:cs="Avenir Next LT Pro"/>
          <w:b/>
          <w:i w:val="0"/>
          <w:color w:val="1A1A1A"/>
          <w:sz w:val="38"/>
        </w:rPr>
        <w:t>Saber Ayatollahi</w:t>
      </w:r>
      <w:r>
        <w:rPr>
          <w:rFonts w:ascii="Avenir Next LT Pro" w:hAnsi="Avenir Next LT Pro" w:cs="Avenir Next LT Pro"/>
          <w:b w:val="0"/>
          <w:i w:val="0"/>
          <w:color w:val="1A1A1A"/>
          <w:sz w:val="22"/>
        </w:rPr>
        <w:t>, CFA, MSc</w:t>
      </w:r>
    </w:p>
    <w:p>
      <w:pPr>
        <w:spacing w:before="0" w:after="80" w:line="240" w:lineRule="auto"/>
      </w:pPr>
      <w:r>
        <w:rPr>
          <w:rFonts w:ascii="Avenir Next LT Pro" w:hAnsi="Avenir Next LT Pro" w:cs="Avenir Next LT Pro"/>
          <w:b w:val="0"/>
          <w:i w:val="0"/>
          <w:color w:val="1A1A1A"/>
          <w:sz w:val="19"/>
        </w:rPr>
        <w:t>Toronto, Canada  •  +1 (416) 856-1276  •  saber.ayatollahi@gmail.com  •  www.linkedin.com/in/sayatollahi</w:t>
      </w:r>
    </w:p>
    <w:p>
      <w:r>
        <w:t>July 08, 2026</w:t>
      </w:r>
    </w:p>
    <w:p>
      <w:r>
        <w:t>Re: Principal, Total Portfolio Management Trading Desk — OPTrust</w:t>
      </w:r>
    </w:p>
    <w:p>
      <w:r>
        <w:t>Dear Hiring Team,</w:t>
      </w:r>
    </w:p>
    <w:p>
      <w:r>
        <w:t>For the past four years at Moody's Analytics I have held delegated sign-off authority on the exact analytical stack the Principal, Total Portfolio Management Trading Desk relies on: derivatives pricing across rates, FX, and inflation; yield-curve construction and spread calibration; parallel and non-parallel rate-shock analysis feeding liability-hedge sizing; and multi-scenario cash-flow projection supporting funding and liquidity decisions across public-markets exposures. That mandate covers institutional portfolios ranging $5–25bn per engagement.</w:t>
      </w:r>
    </w:p>
    <w:p>
      <w:r>
        <w:t>The liability-hedging and portfolio-construction dimension of this role maps directly to the two and a half years I spent at Ortec Finance delivering ALM studies for Canadian and international pension funds. There I conducted VaR and CVaR asset-and-surplus optimization on the GLASS platform, built stochastic economic scenario generators calibrated to macro-rates, inflation, and FX environments, performed LDI trade-off analysis, and presented findings to investment committees. I led the ALM build for the University Pension Plan's three-plan merger, modelling Funding Policy dynamics, duration, currency, and leverage overlays — the same liability-aware thinking that underpins alpha generation through macro, rates, and currency positioning. What draws me specifically to OPTrust is that your Total Portfolio Management construct sits precisely at the intersection of those two bodies of work: rigorous liability-hedging discipline applied through an active, cross-asset trading mandate.</w:t>
      </w:r>
    </w:p>
    <w:p>
      <w:r>
        <w:t>On tooling: Python is my daily production language; SQL is in regular use for data workflows; and I read and refactor VBA in a professional context. Over the past year I have built agentic-AI development workflows using Claude Code and Cursor IDE that reduced development cycle time roughly 30–40% on pricing, validation, and reporting modules — directly relevant to your mandate to develop AI-enabled tools for the trading desk. I hold the CFA charter and dual MSc degrees in Financial Modelling and Chemical Engineering from Western University.</w:t>
      </w:r>
    </w:p>
    <w:p>
      <w:r>
        <w:t>I am Toronto-based, available for interviews immediately, and could start approximately four weeks after offer acceptance. Thank you for your time.</w:t>
      </w:r>
    </w:p>
    <w:p>
      <w:r>
        <w:t>Sincerely,</w:t>
      </w:r>
    </w:p>
    <w:sectPr w:rsidR="00FC693F" w:rsidRPr="0006063C"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venir Next LT Pro" w:hAnsi="Avenir Next LT Pro"/>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