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Candidate for Principal/Trader, Total Portfolio Management with ~7 years across cross-asset portfolio analytics, fixed income and FX derivatives validation, liability hedging analysis, and institutional pension ALM. Holds delegated sign-off authority on valuation, sensitivity, and risk outputs for multi-asset institutional portfolios ($5–25bn per engagement) at Moody's Analytics; former pension ALM/LDI advisor at Ortec Finance. Builds Python and SQL analytics pipelines; has deployed AI-enabled workflows to accelerate modelling and validation cycles. CFA charterholder, dual MSc (Financial Modelling;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 &amp; FX Derivatives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Liability Hedging &amp; LDI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Cross-Asset Portfolio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Rates, Inflation &amp; Currency Risk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&amp; Risk Decomposition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&amp; Monte Carlo Scenario Generation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Cash-Flow Projection &amp; Liquidity-Gap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(Advanced); VBA (working knowledge)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AI-Enabled Analytics Tooling (Claude Code, Cursor IDE)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Assistant Director,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Cross-Asset Derivatives &amp; Rate-Risk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portfolio-risk outputs for multi-asset institutional portfolios of $5–25bn per engagement — independently review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and validate derivatives pricing outputs across rates, FX, and inflation products — verify consistency of sensitivities and scenario impacts at portfolio-level aggregates for pension and insurance mandates.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duration and rate-shock analysis under parallel and non-parallel scenarios, informing hedging and portfolio-construction review for institutional fixed-income mandates.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Liability Hedging, Liquidity &amp; Cash-Flow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— delivering forward-looking liquidity and funded-status visibility across long-dated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liquidity-gap analytics (T+1 through multi-year) to support funding, refinancing, and asset-allocation analysis for cross-asset institutional mandates.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cash-flow assumptions, prepayment logic, and macro stress overlays into projection models aligned with liability-hedging and contingency-planning requirements.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AI-Enabled Tooling &amp; Python Pipeline Development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Python analytics pipelines with embedded logging, validation, and auditability controls — deployed across the modelling team.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 — reduced development cycle time by an estimated 30–40%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Heads of Risk and senior stakeholders on rate exposure, scenario impacts, and portfolio sensitivities — supporting risk management decisions across multi-asset mandates.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multi-asset analytics platform; advised on asset, liability, and portfolio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product/development functions — translated portfolio-team requirements into scoped Product Owner requests.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 — aligned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and risk functions on milestone delivery, governance documentation,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and LDI studies for Canadian and international pension funds — analyzed funding ratios, duration mismatch, and long-term balance-sheet risk to support portfolio construction and liability-hedging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platform; conducted risk decomposition, contribution-to-risk,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rate, inflation, and currency risk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cash-flow, liquidity, and hedging analysis across rate, inflation, and currency exposures for international institutional clients; advised on Strategic and Tactical Asset Allocation trade-offs via stress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and portfolio findings to investment committees at Canadian pension-fund clients; led onboarding and the ALM study for a three-plan university pension merger (jointly-sponsored plan) evaluating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