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 – Pension Investments candidate with ~7 years across pension ALM, liability-driven investment strategy, and multi-asset portfolio analytics. CFA charterholder with dual MSc; delivered stochastic ALM and LDI studies for Canadian pension funds at Ortec Finance, and holds delegated sign-off authority on valuation, risk, and portfolio analytics for institutional portfolios ($5–25bn per engagement) at Moody's Analytics. Hands-on depth in funded-status analysis, liability hedging, derivative overlays, VaR/CVaR portfolio optimization, and Python-driven investment analytics.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ALM &amp; Funded-Status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Allocation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Liability-Driven Investing &amp; Derivative Overlays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Risk Measurement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Performance &amp; Risk Monitoring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Strategy &amp; Mandate Evaluation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Risk Monitoring &amp; Investment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portfolio-risk outputs delivered to multi-asset institutional client portfolios ranging $5–25bn per engagement (~$50bn+ cumulative) — independently reviews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translating security-level exposures into portfolio-level risk metrics used in performance monitoring, asset allocation, and funded-status reporting.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across rates, FX, and inflation, and cross-checks sensitivities used in liability hedging and derivative overlay strategies at portfolio-level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Liability Hedging, Stress Testing &amp; Asset Allocation Support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Oversees duration and interest-rate risk analytics under parallel and non-parallel shocks, applied to funded-status sensitivity and liability-hedging portfolio design.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underpinning liquidity, hedging, and asset allocation decisions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funding, refinancing, and allocation decisions for institutional mandates.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Governance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 — participates in methodology review, benchmarking standards, and model-performance assessment for client-delivered investment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on client-critical analytical issues; interfaces directly with clients' Heads of Risk and investment stakeholders on portfolio construction and risk questions.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Excel-driven investment workflows into scalable, auditable Python analytics pipelines; prepared analytical summaries and investment memos on rate exposure, scenario impacts, and portfolio sensitivities for senior stakeholders.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Investment Analytics Platforms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for U.S. and Canadian pension funds, asset managers, and investment consultants on the PFaroe DB (pension/ALM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pension and institutional investment teams on asset, liability, and ALM configurations; validated model outputs post-deployment and translated investment-team requirements into product/development work.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programs for Canadian and international insurers, aligning actuarial liability, investment, and reporting workstreams.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teams on governance documentation and milestone delivery.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Investment Strategy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analyzed funded status, duration mismatch, and long-term investment risk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pension clients on Strategic Asset Allocation (SAA) and Tactical Asset Allocation (TAA), evaluating public and private mandates against liability objectives;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on duration, currency, and inflation hedging, and modelled derivative overlay and leverage strategies alongside all major asset classes.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using VaR and CVaR via Ortec's GLASS platform, with risk decomposition, risk budgeting, and near-optimal frontier analysis to test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interest-rate, inflation, and currency risk impacts on funded status and long-term portfolio outcomes.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three-plan JSPP merger — on a team of three, modelled funding policy dynamics and evaluated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